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81AC5" w:rsidRDefault="00CB1942" w:rsidP="001773E7">
                <w:pPr>
                  <w:rPr>
                    <w:rFonts w:ascii="Arial (W1)" w:hAnsi="Arial (W1)"/>
                    <w:b/>
                    <w:bCs/>
                    <w:noProof w:val="0"/>
                    <w:sz w:val="28"/>
                    <w:szCs w:val="28"/>
                  </w:rPr>
                </w:pPr>
                <w:r>
                  <w:rPr>
                    <w:rFonts w:hint="cs"/>
                    <w:b/>
                    <w:bCs/>
                    <w:noProof w:val="0"/>
                    <w:sz w:val="28"/>
                    <w:rtl/>
                  </w:rPr>
                  <w:t>מבקש</w:t>
                </w:r>
                <w:r w:rsidR="001773E7">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816EC" w:rsidRDefault="00A73220" w:rsidP="001773E7">
            <w:pPr>
              <w:rPr>
                <w:rFonts w:ascii="Arial (W1)" w:hAnsi="Arial (W1)"/>
                <w:b/>
                <w:bCs/>
                <w:noProof w:val="0"/>
                <w:sz w:val="28"/>
                <w:szCs w:val="28"/>
              </w:rPr>
            </w:pPr>
            <w:r>
              <w:rPr>
                <w:rFonts w:hint="cs"/>
                <w:b/>
                <w:bCs/>
                <w:noProof w:val="0"/>
                <w:sz w:val="28"/>
                <w:rtl/>
              </w:rPr>
              <w:t>פלונית</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10205" w:rsidP="001773E7">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w:t>
                </w:r>
              </w:sdtContent>
            </w:sdt>
          </w:p>
        </w:tc>
        <w:tc>
          <w:tcPr>
            <w:tcW w:w="5571" w:type="dxa"/>
          </w:tcPr>
          <w:p w:rsidR="006816EC" w:rsidRDefault="00A73220" w:rsidP="001773E7">
            <w:pPr>
              <w:rPr>
                <w:rFonts w:ascii="Arial (W1)" w:hAnsi="Arial (W1)"/>
                <w:b/>
                <w:bCs/>
                <w:noProof w:val="0"/>
                <w:sz w:val="28"/>
                <w:szCs w:val="28"/>
              </w:rPr>
            </w:pPr>
            <w:r>
              <w:rPr>
                <w:rFonts w:ascii="Arial (W1)" w:hAnsi="Arial (W1)" w:hint="cs"/>
                <w:b/>
                <w:bCs/>
                <w:noProof w:val="0"/>
                <w:sz w:val="28"/>
                <w:szCs w:val="28"/>
                <w:rtl/>
              </w:rPr>
              <w:t>פלוני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A81AC5" w:rsidRDefault="00A81AC5">
            <w:pPr>
              <w:rPr>
                <w:rFonts w:ascii="David" w:eastAsia="David" w:hAnsi="David"/>
                <w:noProof w:val="0"/>
              </w:rPr>
            </w:pPr>
          </w:p>
        </w:tc>
        <w:tc>
          <w:tcPr>
            <w:tcW w:w="5571" w:type="dxa"/>
          </w:tcPr>
          <w:p w:rsidR="00A81AC5" w:rsidRDefault="00A81AC5">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1773E7" w:rsidRDefault="001773E7" w:rsidP="001773E7">
      <w:pPr>
        <w:spacing w:line="360" w:lineRule="auto"/>
        <w:rPr>
          <w:rFonts w:ascii="David" w:hAnsi="David"/>
          <w:color w:val="000000"/>
        </w:rPr>
      </w:pPr>
    </w:p>
    <w:p w:rsidR="001773E7" w:rsidRDefault="001773E7" w:rsidP="001773E7">
      <w:pPr>
        <w:spacing w:line="360" w:lineRule="auto"/>
        <w:rPr>
          <w:rFonts w:ascii="David" w:hAnsi="David"/>
          <w:color w:val="000000"/>
          <w:rtl/>
        </w:rPr>
      </w:pPr>
      <w:r>
        <w:rPr>
          <w:rFonts w:ascii="David" w:hAnsi="David"/>
          <w:color w:val="000000"/>
          <w:rtl/>
        </w:rPr>
        <w:t>בהמשך לדיון שהתקיים בפניי ביום 1.10.24 במעמד שני הצדדים, בבקשת המבקשת למתן צו הגנה כנגד המשיב להלן החלטתי.</w:t>
      </w:r>
    </w:p>
    <w:p w:rsidR="001773E7" w:rsidRDefault="001773E7" w:rsidP="001773E7">
      <w:pPr>
        <w:spacing w:line="360" w:lineRule="auto"/>
        <w:rPr>
          <w:rFonts w:ascii="David" w:hAnsi="David"/>
          <w:color w:val="000000"/>
          <w:rtl/>
        </w:rPr>
      </w:pPr>
    </w:p>
    <w:p w:rsidR="001773E7" w:rsidRDefault="001773E7" w:rsidP="001773E7">
      <w:pPr>
        <w:spacing w:line="360" w:lineRule="auto"/>
        <w:rPr>
          <w:rFonts w:ascii="David" w:hAnsi="David"/>
          <w:b/>
          <w:bCs/>
          <w:color w:val="000000"/>
          <w:rtl/>
        </w:rPr>
      </w:pPr>
      <w:r>
        <w:rPr>
          <w:rFonts w:ascii="David" w:hAnsi="David"/>
          <w:b/>
          <w:bCs/>
          <w:color w:val="000000"/>
          <w:rtl/>
        </w:rPr>
        <w:t>רקע עובדתי קצר</w:t>
      </w:r>
    </w:p>
    <w:p w:rsidR="001773E7" w:rsidRDefault="001773E7" w:rsidP="001773E7">
      <w:pPr>
        <w:spacing w:line="360" w:lineRule="auto"/>
        <w:rPr>
          <w:rFonts w:ascii="David" w:hAnsi="David"/>
          <w:b/>
          <w:bCs/>
          <w:color w:val="000000"/>
          <w:rtl/>
        </w:rPr>
      </w:pPr>
    </w:p>
    <w:p w:rsidR="001773E7" w:rsidRDefault="001773E7" w:rsidP="001773E7">
      <w:pPr>
        <w:spacing w:line="360" w:lineRule="auto"/>
        <w:jc w:val="both"/>
        <w:rPr>
          <w:rFonts w:ascii="David" w:hAnsi="David"/>
          <w:color w:val="000000"/>
          <w:rtl/>
        </w:rPr>
      </w:pPr>
      <w:r>
        <w:rPr>
          <w:rFonts w:ascii="David" w:hAnsi="David"/>
          <w:color w:val="000000"/>
          <w:rtl/>
        </w:rPr>
        <w:t>עניינם של הצדדים ו</w:t>
      </w:r>
      <w:r w:rsidR="00537FE3">
        <w:rPr>
          <w:rFonts w:ascii="David" w:hAnsi="David"/>
          <w:color w:val="000000"/>
        </w:rPr>
        <w:t>XX</w:t>
      </w:r>
      <w:r>
        <w:rPr>
          <w:rFonts w:ascii="David" w:hAnsi="David"/>
          <w:color w:val="000000"/>
          <w:rtl/>
        </w:rPr>
        <w:t xml:space="preserve"> ילדיהם הקטינים מוכר לי לפני ולפנים ומתנהלים והתנהלו בפני לא פחות מ- 13 הליכים, מתוכם, לא פחות מ-9 הליכים בעניין צו הגנה.</w:t>
      </w:r>
    </w:p>
    <w:p w:rsidR="001773E7" w:rsidRDefault="001773E7" w:rsidP="001773E7">
      <w:pPr>
        <w:spacing w:line="360" w:lineRule="auto"/>
        <w:jc w:val="both"/>
        <w:rPr>
          <w:rFonts w:ascii="David" w:hAnsi="David"/>
          <w:color w:val="000000"/>
          <w:rtl/>
        </w:rPr>
      </w:pPr>
    </w:p>
    <w:p w:rsidR="001773E7" w:rsidRDefault="001773E7" w:rsidP="001773E7">
      <w:pPr>
        <w:spacing w:line="360" w:lineRule="auto"/>
        <w:jc w:val="both"/>
        <w:rPr>
          <w:rFonts w:ascii="David" w:hAnsi="David"/>
          <w:color w:val="000000"/>
          <w:rtl/>
        </w:rPr>
      </w:pPr>
      <w:r>
        <w:rPr>
          <w:rFonts w:ascii="David" w:hAnsi="David"/>
          <w:color w:val="000000"/>
          <w:rtl/>
        </w:rPr>
        <w:t xml:space="preserve">כבר לפני כשנתיים וחודשיים, בחודש אוגוסט 2022 עתרה המבקשת לקבלת צו הגנה כנגד המשיב, עת הצדדים היו פרודים מזה כ-10 חודשים וגרושים כחודשיים. בהמשך נפתחו הליכים בעניין מזונות וקטינים וכאמור בקשות רבות למתן צווי הגנה. </w:t>
      </w:r>
    </w:p>
    <w:p w:rsidR="001773E7" w:rsidRDefault="001773E7" w:rsidP="001773E7">
      <w:pPr>
        <w:spacing w:line="360" w:lineRule="auto"/>
        <w:jc w:val="both"/>
        <w:rPr>
          <w:rFonts w:ascii="David" w:hAnsi="David"/>
          <w:color w:val="000000"/>
          <w:rtl/>
        </w:rPr>
      </w:pPr>
    </w:p>
    <w:p w:rsidR="001773E7" w:rsidRDefault="001773E7" w:rsidP="001773E7">
      <w:pPr>
        <w:spacing w:line="360" w:lineRule="auto"/>
        <w:jc w:val="both"/>
        <w:rPr>
          <w:rFonts w:ascii="David" w:hAnsi="David"/>
          <w:color w:val="000000"/>
          <w:rtl/>
        </w:rPr>
      </w:pPr>
      <w:r>
        <w:rPr>
          <w:rFonts w:ascii="David" w:hAnsi="David" w:hint="cs"/>
          <w:color w:val="000000"/>
          <w:rtl/>
        </w:rPr>
        <w:t>ביום 24.9.24 פנתה המבקשת בבקשה למתן צו הגנה כנגד המשיב. לאחר ששמעתי את המבקשת בדיון במעמד צד אחד ניתן צו כנגד המשיב והתבקשה תגובתו, שכן סברתי שבנסיבות העניין ניתן יהיה אולי לייתר קיומו של דיון.</w:t>
      </w:r>
    </w:p>
    <w:p w:rsidR="001773E7" w:rsidRDefault="001773E7" w:rsidP="001773E7">
      <w:pPr>
        <w:spacing w:line="360" w:lineRule="auto"/>
        <w:jc w:val="both"/>
        <w:rPr>
          <w:rFonts w:ascii="David" w:hAnsi="David"/>
          <w:color w:val="000000"/>
          <w:rtl/>
        </w:rPr>
      </w:pPr>
    </w:p>
    <w:p w:rsidR="001773E7" w:rsidRDefault="001773E7" w:rsidP="001773E7">
      <w:pPr>
        <w:spacing w:line="360" w:lineRule="auto"/>
        <w:jc w:val="both"/>
        <w:rPr>
          <w:rFonts w:ascii="David" w:hAnsi="David"/>
          <w:color w:val="000000"/>
          <w:rtl/>
        </w:rPr>
      </w:pPr>
      <w:r>
        <w:rPr>
          <w:rFonts w:ascii="David" w:hAnsi="David" w:hint="cs"/>
          <w:color w:val="000000"/>
          <w:rtl/>
        </w:rPr>
        <w:t>המשיב הגיש תגובתו ביום 29.9.24 ועמד על קיומו של דיון וכן טען כי המבקשת, היא זו שמפרה את הצווים שניתנו (נגדו).</w:t>
      </w:r>
    </w:p>
    <w:p w:rsidR="001773E7" w:rsidRDefault="001773E7" w:rsidP="001773E7">
      <w:pPr>
        <w:spacing w:line="360" w:lineRule="auto"/>
        <w:jc w:val="both"/>
        <w:rPr>
          <w:rFonts w:ascii="David" w:hAnsi="David"/>
          <w:color w:val="000000"/>
          <w:rtl/>
        </w:rPr>
      </w:pPr>
    </w:p>
    <w:p w:rsidR="001773E7" w:rsidRDefault="001773E7" w:rsidP="001773E7">
      <w:pPr>
        <w:spacing w:line="360" w:lineRule="auto"/>
        <w:jc w:val="both"/>
        <w:rPr>
          <w:rFonts w:ascii="David" w:hAnsi="David"/>
          <w:color w:val="000000"/>
          <w:rtl/>
        </w:rPr>
      </w:pPr>
      <w:r>
        <w:rPr>
          <w:rFonts w:ascii="David" w:hAnsi="David" w:hint="cs"/>
          <w:color w:val="000000"/>
          <w:rtl/>
        </w:rPr>
        <w:lastRenderedPageBreak/>
        <w:t>משעמד המשיב על קיומו של הדיון נקבע דיון במעמד הצדדים ליום 1.10</w:t>
      </w:r>
      <w:r w:rsidR="00140B5B">
        <w:rPr>
          <w:rFonts w:ascii="David" w:hAnsi="David" w:hint="cs"/>
          <w:color w:val="000000"/>
          <w:rtl/>
        </w:rPr>
        <w:t>.24 ולאחר שנשמעו בפני באריכות טענות הצדדים להלן החלטתי.</w:t>
      </w:r>
    </w:p>
    <w:p w:rsidR="001773E7" w:rsidRDefault="001773E7" w:rsidP="001773E7">
      <w:pPr>
        <w:ind w:hanging="426"/>
        <w:rPr>
          <w:rFonts w:ascii="David" w:hAnsi="David"/>
          <w:color w:val="000000"/>
          <w:rtl/>
        </w:rPr>
      </w:pPr>
    </w:p>
    <w:p w:rsidR="00140B5B" w:rsidRDefault="00140B5B" w:rsidP="001773E7">
      <w:pPr>
        <w:rPr>
          <w:rFonts w:ascii="David" w:hAnsi="David"/>
          <w:b/>
          <w:bCs/>
          <w:color w:val="000000"/>
          <w:rtl/>
        </w:rPr>
      </w:pPr>
    </w:p>
    <w:p w:rsidR="001773E7" w:rsidRDefault="001773E7" w:rsidP="001773E7">
      <w:pPr>
        <w:rPr>
          <w:rFonts w:ascii="David" w:hAnsi="David"/>
          <w:b/>
          <w:bCs/>
          <w:color w:val="000000"/>
          <w:rtl/>
        </w:rPr>
      </w:pPr>
      <w:r>
        <w:rPr>
          <w:rFonts w:ascii="David" w:hAnsi="David"/>
          <w:b/>
          <w:bCs/>
          <w:color w:val="000000"/>
          <w:rtl/>
        </w:rPr>
        <w:t>המסגרת הנורמטיבית</w:t>
      </w:r>
    </w:p>
    <w:p w:rsidR="00140B5B" w:rsidRDefault="00140B5B" w:rsidP="001773E7">
      <w:pPr>
        <w:rPr>
          <w:rFonts w:ascii="David" w:hAnsi="David"/>
          <w:b/>
          <w:bCs/>
          <w:color w:val="000000"/>
          <w:rtl/>
        </w:rPr>
      </w:pPr>
    </w:p>
    <w:p w:rsidR="001773E7" w:rsidRDefault="001773E7" w:rsidP="001773E7">
      <w:pPr>
        <w:rPr>
          <w:rFonts w:ascii="David" w:hAnsi="David"/>
          <w:noProof w:val="0"/>
          <w:rtl/>
        </w:rPr>
      </w:pPr>
    </w:p>
    <w:p w:rsidR="001773E7" w:rsidRDefault="001773E7" w:rsidP="001773E7">
      <w:pPr>
        <w:pStyle w:val="ad"/>
        <w:numPr>
          <w:ilvl w:val="0"/>
          <w:numId w:val="1"/>
        </w:numPr>
        <w:spacing w:after="80"/>
        <w:rPr>
          <w:rFonts w:ascii="David" w:hAnsi="David"/>
          <w:sz w:val="24"/>
          <w:szCs w:val="24"/>
        </w:rPr>
      </w:pPr>
      <w:r>
        <w:rPr>
          <w:rFonts w:ascii="David" w:hAnsi="David"/>
          <w:sz w:val="24"/>
          <w:szCs w:val="24"/>
          <w:rtl/>
        </w:rPr>
        <w:t>בשנת 1991 נחקק החוק למניעת אלימות במשפחה (להלן: "</w:t>
      </w:r>
      <w:r>
        <w:rPr>
          <w:rFonts w:ascii="David" w:hAnsi="David"/>
          <w:b/>
          <w:bCs/>
          <w:sz w:val="24"/>
          <w:szCs w:val="24"/>
          <w:rtl/>
        </w:rPr>
        <w:t>החוק למניעת אלימות במשפחה</w:t>
      </w:r>
      <w:r>
        <w:rPr>
          <w:rFonts w:ascii="David" w:hAnsi="David"/>
          <w:sz w:val="24"/>
          <w:szCs w:val="24"/>
          <w:rtl/>
        </w:rPr>
        <w:t>").</w:t>
      </w:r>
    </w:p>
    <w:p w:rsidR="001773E7" w:rsidRDefault="001773E7" w:rsidP="001773E7">
      <w:pPr>
        <w:pStyle w:val="ad"/>
        <w:spacing w:after="80"/>
        <w:ind w:left="360" w:firstLine="0"/>
        <w:rPr>
          <w:rFonts w:ascii="David" w:hAnsi="David"/>
          <w:sz w:val="24"/>
          <w:szCs w:val="24"/>
          <w:rtl/>
        </w:rPr>
      </w:pPr>
      <w:r>
        <w:rPr>
          <w:rFonts w:ascii="David" w:hAnsi="David"/>
          <w:sz w:val="24"/>
          <w:szCs w:val="24"/>
          <w:rtl/>
        </w:rPr>
        <w:t>מכוח החוק הוענקה לבית המשפט סמכות לתת צו האוסר על אדם להיכנס לדירה בה מתגורר בן משפחתו או להימצא בתחום מרחק מסוים מאותה דירה. בנוסף רשאי בית המשפט, לאסור על המחויב באמצעות צו הגנה להחזיק או לשאת נשק, וכן לתת צו האוסר את המחויב להטריד את בן המשפחה בכל דרך ובכל מקום. בסעיף 3 לחוק פורטו העילות למתן צו ההגנה אשר כוללות שלוש קטגוריות:</w:t>
      </w:r>
    </w:p>
    <w:p w:rsidR="001773E7" w:rsidRDefault="001773E7" w:rsidP="001773E7">
      <w:pPr>
        <w:pStyle w:val="ad"/>
        <w:bidi w:val="0"/>
        <w:spacing w:after="80"/>
        <w:ind w:left="1440" w:right="283" w:firstLine="0"/>
        <w:jc w:val="right"/>
        <w:rPr>
          <w:rFonts w:ascii="David" w:hAnsi="David"/>
          <w:sz w:val="24"/>
          <w:szCs w:val="24"/>
        </w:rPr>
      </w:pPr>
      <w:r>
        <w:rPr>
          <w:rFonts w:ascii="David" w:hAnsi="David"/>
          <w:sz w:val="24"/>
          <w:szCs w:val="24"/>
          <w:rtl/>
        </w:rPr>
        <w:t xml:space="preserve"> </w:t>
      </w:r>
      <w:r>
        <w:rPr>
          <w:rFonts w:ascii="David" w:hAnsi="David" w:hint="cs"/>
          <w:b/>
          <w:bCs/>
          <w:sz w:val="24"/>
          <w:szCs w:val="24"/>
          <w:rtl/>
        </w:rPr>
        <w:t>(1)</w:t>
      </w:r>
      <w:r>
        <w:rPr>
          <w:rFonts w:ascii="David" w:hAnsi="David" w:hint="cs"/>
          <w:sz w:val="24"/>
          <w:szCs w:val="24"/>
          <w:rtl/>
        </w:rPr>
        <w:t xml:space="preserve"> מי שנהג סמוך לפני הגשת הבקשה באלימות בבן משפחתו, או שביצע בו עבירת מין או כלא אותו שלא כדין.</w:t>
      </w:r>
    </w:p>
    <w:p w:rsidR="001773E7" w:rsidRDefault="001773E7" w:rsidP="001773E7">
      <w:pPr>
        <w:pStyle w:val="ad"/>
        <w:bidi w:val="0"/>
        <w:spacing w:after="80"/>
        <w:ind w:left="1440" w:right="283" w:firstLine="0"/>
        <w:jc w:val="right"/>
        <w:rPr>
          <w:rFonts w:ascii="David" w:hAnsi="David"/>
          <w:sz w:val="24"/>
          <w:szCs w:val="24"/>
          <w:rtl/>
        </w:rPr>
      </w:pPr>
      <w:r>
        <w:rPr>
          <w:rFonts w:ascii="David" w:hAnsi="David"/>
          <w:b/>
          <w:bCs/>
          <w:sz w:val="24"/>
          <w:szCs w:val="24"/>
          <w:rtl/>
        </w:rPr>
        <w:t>(2)</w:t>
      </w:r>
      <w:r>
        <w:rPr>
          <w:rFonts w:ascii="David" w:hAnsi="David"/>
          <w:sz w:val="24"/>
          <w:szCs w:val="24"/>
          <w:rtl/>
        </w:rPr>
        <w:t xml:space="preserve"> התנהגותו נותנת בסיס סביר להניח כי הוא מהווה סכנה גופנית ממשית לבן משפחתו או שהוא עלול לבצע בו עבירת מין.</w:t>
      </w:r>
    </w:p>
    <w:p w:rsidR="001773E7" w:rsidRDefault="001773E7" w:rsidP="001773E7">
      <w:pPr>
        <w:pStyle w:val="ad"/>
        <w:bidi w:val="0"/>
        <w:ind w:left="1440" w:right="283" w:firstLine="0"/>
        <w:jc w:val="right"/>
        <w:rPr>
          <w:rFonts w:ascii="David" w:hAnsi="David"/>
          <w:sz w:val="24"/>
          <w:szCs w:val="24"/>
          <w:rtl/>
        </w:rPr>
      </w:pPr>
      <w:r>
        <w:rPr>
          <w:rFonts w:ascii="David" w:hAnsi="David"/>
          <w:b/>
          <w:bCs/>
          <w:sz w:val="24"/>
          <w:szCs w:val="24"/>
          <w:rtl/>
        </w:rPr>
        <w:t>(3)</w:t>
      </w:r>
      <w:r>
        <w:rPr>
          <w:rFonts w:ascii="David" w:hAnsi="David"/>
          <w:sz w:val="24"/>
          <w:szCs w:val="24"/>
          <w:rtl/>
        </w:rPr>
        <w:t xml:space="preserve"> מי שהתעלל בבן משפחתו התעללות נפשית מתמשכת, או התנהג באופן שאינו מאפשר לבן משפחתו ניהול סביר ותקין של חייו. </w:t>
      </w:r>
    </w:p>
    <w:p w:rsidR="001773E7" w:rsidRDefault="001773E7" w:rsidP="001773E7">
      <w:pPr>
        <w:pStyle w:val="ad"/>
        <w:bidi w:val="0"/>
        <w:spacing w:line="320" w:lineRule="exact"/>
        <w:ind w:left="0" w:firstLine="0"/>
        <w:jc w:val="right"/>
        <w:rPr>
          <w:rFonts w:ascii="David" w:hAnsi="David"/>
          <w:sz w:val="24"/>
          <w:szCs w:val="24"/>
          <w:rtl/>
        </w:rPr>
      </w:pPr>
    </w:p>
    <w:p w:rsidR="001773E7" w:rsidRDefault="001773E7" w:rsidP="001773E7">
      <w:pPr>
        <w:pStyle w:val="ad"/>
        <w:bidi w:val="0"/>
        <w:spacing w:line="320" w:lineRule="exact"/>
        <w:ind w:left="0" w:right="-382" w:firstLine="0"/>
        <w:jc w:val="right"/>
        <w:rPr>
          <w:rFonts w:ascii="David" w:hAnsi="David"/>
          <w:b/>
          <w:bCs/>
          <w:sz w:val="24"/>
          <w:szCs w:val="24"/>
          <w:rtl/>
        </w:rPr>
      </w:pPr>
    </w:p>
    <w:p w:rsidR="001773E7" w:rsidRDefault="001773E7" w:rsidP="00140B5B">
      <w:pPr>
        <w:pStyle w:val="af"/>
        <w:numPr>
          <w:ilvl w:val="0"/>
          <w:numId w:val="1"/>
        </w:numPr>
        <w:spacing w:after="80" w:line="320" w:lineRule="atLeast"/>
        <w:jc w:val="both"/>
        <w:rPr>
          <w:rFonts w:ascii="David" w:hAnsi="David"/>
          <w:lang w:eastAsia="he-IL"/>
        </w:rPr>
      </w:pPr>
      <w:r>
        <w:rPr>
          <w:rFonts w:ascii="David" w:hAnsi="David"/>
          <w:rtl/>
        </w:rPr>
        <w:t xml:space="preserve">צו </w:t>
      </w:r>
      <w:r w:rsidR="00140B5B">
        <w:rPr>
          <w:rFonts w:ascii="David" w:hAnsi="David" w:hint="cs"/>
          <w:rtl/>
        </w:rPr>
        <w:t>הגנה היתן לכל היותר</w:t>
      </w:r>
      <w:r w:rsidR="00140B5B">
        <w:rPr>
          <w:rFonts w:ascii="David" w:hAnsi="David" w:hint="cs"/>
          <w:rtl/>
          <w:lang w:eastAsia="he-IL"/>
        </w:rPr>
        <w:t xml:space="preserve"> </w:t>
      </w:r>
      <w:r>
        <w:rPr>
          <w:rFonts w:ascii="David" w:hAnsi="David"/>
          <w:rtl/>
          <w:lang w:eastAsia="he-IL"/>
        </w:rPr>
        <w:t xml:space="preserve">לתקופה של שלושה חודשים, </w:t>
      </w:r>
      <w:r w:rsidR="00140B5B">
        <w:rPr>
          <w:rFonts w:ascii="David" w:hAnsi="David" w:hint="cs"/>
          <w:rtl/>
          <w:lang w:eastAsia="he-IL"/>
        </w:rPr>
        <w:t xml:space="preserve">תקופה אשר </w:t>
      </w:r>
      <w:r>
        <w:rPr>
          <w:rFonts w:ascii="David" w:hAnsi="David"/>
          <w:rtl/>
          <w:lang w:eastAsia="he-IL"/>
        </w:rPr>
        <w:t>ניתן להאריכה לשישה חודשים, ומנימוקים מיוחדים ניתן להאריך את תוקף הצו עד לשנה, לשון סעיף 5(א) לחוק למניעת אלימות במשפחה, התשנ"א – 1991:</w:t>
      </w:r>
    </w:p>
    <w:p w:rsidR="001773E7" w:rsidRDefault="001773E7" w:rsidP="001773E7">
      <w:pPr>
        <w:spacing w:after="80" w:line="320" w:lineRule="atLeast"/>
        <w:ind w:left="-241"/>
        <w:jc w:val="both"/>
        <w:rPr>
          <w:rFonts w:ascii="David" w:hAnsi="David"/>
          <w:rtl/>
          <w:lang w:eastAsia="he-IL"/>
        </w:rPr>
      </w:pPr>
    </w:p>
    <w:p w:rsidR="001773E7" w:rsidRDefault="001773E7" w:rsidP="001773E7">
      <w:pPr>
        <w:spacing w:after="80" w:line="320" w:lineRule="atLeast"/>
        <w:ind w:left="1035" w:right="1080"/>
        <w:jc w:val="both"/>
        <w:rPr>
          <w:rFonts w:ascii="David" w:eastAsiaTheme="minorHAnsi" w:hAnsi="David"/>
          <w:b/>
          <w:bCs/>
          <w:rtl/>
        </w:rPr>
      </w:pPr>
      <w:r>
        <w:rPr>
          <w:rFonts w:ascii="David" w:hAnsi="David"/>
          <w:b/>
          <w:bCs/>
          <w:rtl/>
        </w:rPr>
        <w:t xml:space="preserve">"(א) תקפו של </w:t>
      </w:r>
      <w:r>
        <w:rPr>
          <w:rFonts w:ascii="David" w:hAnsi="David"/>
          <w:b/>
          <w:bCs/>
          <w:color w:val="000000"/>
          <w:rtl/>
        </w:rPr>
        <w:t>צו הגנה</w:t>
      </w:r>
      <w:r>
        <w:rPr>
          <w:rFonts w:ascii="David" w:hAnsi="David"/>
          <w:b/>
          <w:bCs/>
          <w:rtl/>
        </w:rPr>
        <w:t xml:space="preserve"> לא יעלה על שלושה חדשים; בית המשפט רשאי להאריך את תקפו של הצו מפעם לפעם, ובלבד שהתקופה הכוללת לא תעלה על ששה חדשים, ואולם, מנימוקים מיוחדים שיפורטו בהחלטתו, רשאי הוא להאריך את תוקפו של הצו לתקופה כוללת שלא תעלה על שנה אחת" </w:t>
      </w:r>
    </w:p>
    <w:p w:rsidR="001773E7" w:rsidRDefault="001773E7" w:rsidP="001773E7">
      <w:pPr>
        <w:spacing w:after="80" w:line="320" w:lineRule="atLeast"/>
        <w:ind w:left="720" w:hanging="720"/>
        <w:jc w:val="both"/>
        <w:rPr>
          <w:rFonts w:ascii="David" w:hAnsi="David"/>
          <w:b/>
          <w:bCs/>
          <w:rtl/>
        </w:rPr>
      </w:pPr>
    </w:p>
    <w:p w:rsidR="001773E7" w:rsidRDefault="001773E7" w:rsidP="001773E7">
      <w:pPr>
        <w:pStyle w:val="af"/>
        <w:numPr>
          <w:ilvl w:val="0"/>
          <w:numId w:val="1"/>
        </w:numPr>
        <w:spacing w:after="80" w:line="320" w:lineRule="atLeast"/>
        <w:rPr>
          <w:rFonts w:ascii="David" w:hAnsi="David"/>
        </w:rPr>
      </w:pPr>
      <w:r>
        <w:rPr>
          <w:rFonts w:ascii="David" w:hAnsi="David"/>
          <w:rtl/>
        </w:rPr>
        <w:t>בהתאם לפסיקה ניתן להאריך את תוקפו של הצו מעת לעת לאחר בחינת הנסיבות במועד הארכה כדלקמן:</w:t>
      </w:r>
    </w:p>
    <w:p w:rsidR="0059359D" w:rsidRDefault="0059359D" w:rsidP="0059359D">
      <w:pPr>
        <w:pStyle w:val="af"/>
        <w:spacing w:after="80" w:line="320" w:lineRule="atLeast"/>
        <w:ind w:left="379"/>
        <w:rPr>
          <w:rFonts w:ascii="David" w:hAnsi="David"/>
          <w:rtl/>
        </w:rPr>
      </w:pPr>
    </w:p>
    <w:p w:rsidR="00140B5B" w:rsidRDefault="001773E7" w:rsidP="001773E7">
      <w:pPr>
        <w:spacing w:after="80" w:line="320" w:lineRule="atLeast"/>
        <w:ind w:left="610" w:right="1080"/>
        <w:jc w:val="both"/>
        <w:rPr>
          <w:rFonts w:ascii="David" w:hAnsi="David"/>
          <w:rtl/>
        </w:rPr>
      </w:pPr>
      <w:r w:rsidRPr="00140B5B">
        <w:rPr>
          <w:rFonts w:ascii="David" w:hAnsi="David"/>
          <w:b/>
          <w:bCs/>
          <w:sz w:val="22"/>
          <w:szCs w:val="22"/>
          <w:rtl/>
        </w:rPr>
        <w:t xml:space="preserve">"הוראות סעיף 5 (א) מכוונת ל'נימוקים מיוחדים' על מנת להאריך </w:t>
      </w:r>
      <w:r w:rsidRPr="00140B5B">
        <w:rPr>
          <w:rFonts w:ascii="David" w:hAnsi="David"/>
          <w:b/>
          <w:bCs/>
          <w:color w:val="000000"/>
          <w:sz w:val="22"/>
          <w:szCs w:val="22"/>
          <w:rtl/>
        </w:rPr>
        <w:t>צו הגנה</w:t>
      </w:r>
      <w:r w:rsidRPr="00140B5B">
        <w:rPr>
          <w:rFonts w:ascii="David" w:hAnsi="David"/>
          <w:b/>
          <w:bCs/>
          <w:sz w:val="22"/>
          <w:szCs w:val="22"/>
          <w:rtl/>
        </w:rPr>
        <w:t xml:space="preserve"> לתקופה העולה על 6 חודשים ועד לשנה. נימוקים מיוחדים אלה יכול וילמדו מנסיבות שנוצרו </w:t>
      </w:r>
      <w:r w:rsidRPr="00140B5B">
        <w:rPr>
          <w:rFonts w:ascii="David" w:hAnsi="David"/>
          <w:b/>
          <w:bCs/>
          <w:sz w:val="22"/>
          <w:szCs w:val="22"/>
          <w:rtl/>
        </w:rPr>
        <w:lastRenderedPageBreak/>
        <w:t xml:space="preserve">לאחר מתן </w:t>
      </w:r>
      <w:r w:rsidRPr="00140B5B">
        <w:rPr>
          <w:rFonts w:ascii="David" w:hAnsi="David"/>
          <w:b/>
          <w:bCs/>
          <w:color w:val="000000"/>
          <w:sz w:val="22"/>
          <w:szCs w:val="22"/>
          <w:rtl/>
        </w:rPr>
        <w:t>צו ההגנה</w:t>
      </w:r>
      <w:r w:rsidRPr="00140B5B">
        <w:rPr>
          <w:rFonts w:ascii="David" w:hAnsi="David"/>
          <w:b/>
          <w:bCs/>
          <w:sz w:val="22"/>
          <w:szCs w:val="22"/>
          <w:rtl/>
        </w:rPr>
        <w:t xml:space="preserve"> לראשונה כגון שהצו לא הרתיע את מי שניתן כנגדו מלהמשיך בהתנהגות שבגינה ניתן הצו מלכתחילה. על כך לא יכולה להיות מחלוקת. מקום שהפוגע לא 'למד את הלקח' והמשיך בהתנהגותו הפוגעת גם לאחר מתן הצו, ראוי ונכון להאריך את הצו עד לתקופה של שנה, התקופה המכסימלית על פי החוק. עם זאת, גם אם לא המשיך הנתבע בהתנהגותו הפוגעת לאחר מתן הצו מלכתחילה, יכול ויהיה מקום להאריך את הצו עד לתקופה מכסימלית של שנה על בסיס ההתנהגות הפוגעת אשר הביאה למתן הצו מלכתחילה, למשל, משום חומרתה ו/או משום החשש שעדיין קיים שהיא תשנה. מבחינה זו, אין די בחלוף הזמן, מאז מתן הצו לראשונה, בלבד, כדי למנוע מבית המשפט להאריך את הצו בוודאי כאשר מקום שבית המשפט הורה לפוגע לקבל טיפול מגורם שקבע בעקבות התנהגותו והפוגע לא מילא, או מילא כלאחר יד, אחר הוראה זו. זאת ועוד, במהלך התקופה מאז ניתן הצו לראשונה ועד להארכה המתבקשת מ'נימוקים מיוחדים', יכול ויהיו בפני בית המשפט עובדות ו/או הערכות של מומחים באשר לרמת המסוכנות של הפוגע שלא היו בפניו עת ניתן הצו לראשונה על ידו. עובדות ו/או הערכות אלה יכולים לשמש בסיס להארכת הצו עד לתקופה המכסימלית, גם אם במהלך התקופה בה ניתן הצו לא חזר הפוגע על התנהגותו הפוגעת. לא מן הנמנע, והענין נתון להערכתו ולשיקול דעתו של ביהמ"ש, כי המנעותו של הפוגע מלחזור על התנהגותו, היתה דווקא משום קיומו של הצו"</w:t>
      </w:r>
      <w:r>
        <w:rPr>
          <w:rFonts w:ascii="David" w:hAnsi="David"/>
          <w:rtl/>
        </w:rPr>
        <w:t xml:space="preserve">. </w:t>
      </w:r>
    </w:p>
    <w:p w:rsidR="001773E7" w:rsidRDefault="001773E7" w:rsidP="00140B5B">
      <w:pPr>
        <w:spacing w:after="80" w:line="320" w:lineRule="atLeast"/>
        <w:ind w:left="610" w:right="1080"/>
        <w:jc w:val="both"/>
        <w:rPr>
          <w:rFonts w:ascii="David" w:hAnsi="David"/>
          <w:rtl/>
        </w:rPr>
      </w:pPr>
      <w:r>
        <w:rPr>
          <w:rFonts w:ascii="David" w:hAnsi="David"/>
          <w:rtl/>
        </w:rPr>
        <w:t xml:space="preserve">ראה תמ"ש (ת"א) 32952/05 </w:t>
      </w:r>
      <w:r>
        <w:rPr>
          <w:rFonts w:ascii="David" w:hAnsi="David"/>
          <w:b/>
          <w:bCs/>
          <w:rtl/>
        </w:rPr>
        <w:t>פ.ב.כ נ' מ.ב.כ</w:t>
      </w:r>
      <w:r>
        <w:rPr>
          <w:rFonts w:ascii="David" w:hAnsi="David"/>
          <w:rtl/>
        </w:rPr>
        <w:t xml:space="preserve"> [פורסם בנבו] (08/02/2006)).</w:t>
      </w:r>
    </w:p>
    <w:p w:rsidR="001773E7" w:rsidRDefault="001773E7" w:rsidP="001773E7">
      <w:pPr>
        <w:spacing w:after="80" w:line="320" w:lineRule="atLeast"/>
        <w:ind w:left="610" w:right="1080"/>
        <w:jc w:val="both"/>
        <w:rPr>
          <w:rFonts w:ascii="David" w:hAnsi="David"/>
          <w:rtl/>
        </w:rPr>
      </w:pPr>
    </w:p>
    <w:p w:rsidR="001773E7" w:rsidRDefault="001773E7" w:rsidP="001773E7">
      <w:pPr>
        <w:spacing w:after="80" w:line="320" w:lineRule="atLeast"/>
        <w:ind w:left="610" w:right="1080"/>
        <w:jc w:val="both"/>
        <w:rPr>
          <w:rFonts w:ascii="David" w:hAnsi="David"/>
          <w:b/>
          <w:bCs/>
          <w:rtl/>
        </w:rPr>
      </w:pPr>
    </w:p>
    <w:p w:rsidR="001773E7" w:rsidRDefault="001773E7" w:rsidP="001773E7">
      <w:pPr>
        <w:spacing w:after="80" w:line="320" w:lineRule="atLeast"/>
        <w:ind w:left="610" w:right="1080"/>
        <w:jc w:val="both"/>
        <w:rPr>
          <w:rFonts w:ascii="David" w:hAnsi="David"/>
          <w:b/>
          <w:bCs/>
          <w:rtl/>
        </w:rPr>
      </w:pPr>
      <w:r>
        <w:rPr>
          <w:rFonts w:ascii="David" w:hAnsi="David"/>
          <w:b/>
          <w:bCs/>
          <w:rtl/>
        </w:rPr>
        <w:t>דיון והכרעה</w:t>
      </w:r>
    </w:p>
    <w:p w:rsidR="001773E7" w:rsidRDefault="001773E7" w:rsidP="001773E7">
      <w:pPr>
        <w:spacing w:after="80" w:line="320" w:lineRule="atLeast"/>
        <w:ind w:left="720" w:hanging="720"/>
        <w:jc w:val="both"/>
        <w:rPr>
          <w:rFonts w:ascii="David" w:hAnsi="David"/>
          <w:rtl/>
        </w:rPr>
      </w:pPr>
    </w:p>
    <w:p w:rsidR="001773E7" w:rsidRDefault="001773E7" w:rsidP="00140B5B">
      <w:pPr>
        <w:pStyle w:val="ad"/>
        <w:numPr>
          <w:ilvl w:val="0"/>
          <w:numId w:val="1"/>
        </w:numPr>
        <w:rPr>
          <w:rFonts w:ascii="David" w:hAnsi="David"/>
          <w:sz w:val="24"/>
          <w:szCs w:val="24"/>
          <w:rtl/>
        </w:rPr>
      </w:pPr>
      <w:r>
        <w:rPr>
          <w:rFonts w:ascii="David" w:hAnsi="David"/>
          <w:sz w:val="24"/>
          <w:szCs w:val="24"/>
          <w:rtl/>
        </w:rPr>
        <w:t>כאמור לעיל, עניינם של הצדדים מוכר לי היטב מתיקים רבים שמתנהלים בפניי משנת 2022 מתוכם כ- 9 הליכים מסוג ה"ט. ביום 29.5.24 ניתן צו הגנה כנגד המשיב לתקופה של שלושה חודשים, בהתאם לסעיף 9 בפרוטוקול, ניתן למבקשת היתר</w:t>
      </w:r>
      <w:r w:rsidR="00140B5B">
        <w:rPr>
          <w:rFonts w:ascii="David" w:hAnsi="David" w:hint="cs"/>
          <w:sz w:val="24"/>
          <w:szCs w:val="24"/>
          <w:rtl/>
        </w:rPr>
        <w:t>,</w:t>
      </w:r>
      <w:r>
        <w:rPr>
          <w:rFonts w:ascii="David" w:hAnsi="David"/>
          <w:sz w:val="24"/>
          <w:szCs w:val="24"/>
          <w:rtl/>
        </w:rPr>
        <w:t xml:space="preserve"> ככל ויעלה הצורך</w:t>
      </w:r>
      <w:r w:rsidR="00140B5B">
        <w:rPr>
          <w:rFonts w:ascii="David" w:hAnsi="David" w:hint="cs"/>
          <w:sz w:val="24"/>
          <w:szCs w:val="24"/>
          <w:rtl/>
        </w:rPr>
        <w:t>,</w:t>
      </w:r>
      <w:r>
        <w:rPr>
          <w:rFonts w:ascii="David" w:hAnsi="David"/>
          <w:sz w:val="24"/>
          <w:szCs w:val="24"/>
          <w:rtl/>
        </w:rPr>
        <w:t xml:space="preserve"> לפנות לבית המשפט בסמוך לסיום תוקפו </w:t>
      </w:r>
      <w:r w:rsidR="00140B5B">
        <w:rPr>
          <w:rFonts w:ascii="David" w:hAnsi="David" w:hint="cs"/>
          <w:sz w:val="24"/>
          <w:szCs w:val="24"/>
          <w:rtl/>
        </w:rPr>
        <w:t xml:space="preserve">של הצו </w:t>
      </w:r>
      <w:r>
        <w:rPr>
          <w:rFonts w:ascii="David" w:hAnsi="David"/>
          <w:sz w:val="24"/>
          <w:szCs w:val="24"/>
          <w:rtl/>
        </w:rPr>
        <w:t>בבקשת הארכה</w:t>
      </w:r>
      <w:r w:rsidR="00140B5B">
        <w:rPr>
          <w:rFonts w:ascii="David" w:hAnsi="David" w:hint="cs"/>
          <w:sz w:val="24"/>
          <w:szCs w:val="24"/>
          <w:rtl/>
        </w:rPr>
        <w:t>. ואכן,</w:t>
      </w:r>
      <w:r>
        <w:rPr>
          <w:rFonts w:ascii="David" w:hAnsi="David"/>
          <w:sz w:val="24"/>
          <w:szCs w:val="24"/>
          <w:rtl/>
        </w:rPr>
        <w:t xml:space="preserve"> ביום 24.8.24 </w:t>
      </w:r>
      <w:r w:rsidR="00140B5B">
        <w:rPr>
          <w:rFonts w:ascii="David" w:hAnsi="David" w:hint="cs"/>
          <w:sz w:val="24"/>
          <w:szCs w:val="24"/>
          <w:rtl/>
        </w:rPr>
        <w:t xml:space="preserve">, במהלך פגרת הקיץ, </w:t>
      </w:r>
      <w:r>
        <w:rPr>
          <w:rFonts w:ascii="David" w:hAnsi="David"/>
          <w:sz w:val="24"/>
          <w:szCs w:val="24"/>
          <w:rtl/>
        </w:rPr>
        <w:t>הגישה המבקשת בקש</w:t>
      </w:r>
      <w:r w:rsidR="00140B5B">
        <w:rPr>
          <w:rFonts w:ascii="David" w:hAnsi="David" w:hint="cs"/>
          <w:sz w:val="24"/>
          <w:szCs w:val="24"/>
          <w:rtl/>
        </w:rPr>
        <w:t>ה להארכת ה</w:t>
      </w:r>
      <w:r>
        <w:rPr>
          <w:rFonts w:ascii="David" w:hAnsi="David"/>
          <w:sz w:val="24"/>
          <w:szCs w:val="24"/>
          <w:rtl/>
        </w:rPr>
        <w:t xml:space="preserve">צו, הבקשה הועברה למותב תורן אשר דחה את הבקשה וקבע כי יש לפתוח הליך חדש. </w:t>
      </w:r>
    </w:p>
    <w:p w:rsidR="001773E7" w:rsidRDefault="001773E7" w:rsidP="001773E7">
      <w:pPr>
        <w:pStyle w:val="ad"/>
        <w:ind w:left="-382" w:firstLine="0"/>
        <w:rPr>
          <w:rFonts w:ascii="David" w:hAnsi="David"/>
          <w:sz w:val="24"/>
          <w:szCs w:val="24"/>
          <w:rtl/>
        </w:rPr>
      </w:pPr>
    </w:p>
    <w:p w:rsidR="001773E7" w:rsidRDefault="001773E7" w:rsidP="00322787">
      <w:pPr>
        <w:pStyle w:val="ad"/>
        <w:numPr>
          <w:ilvl w:val="0"/>
          <w:numId w:val="1"/>
        </w:numPr>
        <w:rPr>
          <w:rFonts w:ascii="David" w:hAnsi="David"/>
          <w:sz w:val="24"/>
          <w:szCs w:val="24"/>
          <w:rtl/>
        </w:rPr>
      </w:pPr>
      <w:r>
        <w:rPr>
          <w:rFonts w:ascii="David" w:hAnsi="David"/>
          <w:sz w:val="24"/>
          <w:szCs w:val="24"/>
          <w:rtl/>
        </w:rPr>
        <w:t xml:space="preserve">ביום 24.9.24 הוגשה בקשה זו למתן צו הגנה וזאת </w:t>
      </w:r>
      <w:r w:rsidR="00140B5B">
        <w:rPr>
          <w:rFonts w:ascii="David" w:hAnsi="David" w:hint="cs"/>
          <w:sz w:val="24"/>
          <w:szCs w:val="24"/>
          <w:rtl/>
        </w:rPr>
        <w:t xml:space="preserve">"חדש" וזאת </w:t>
      </w:r>
      <w:r>
        <w:rPr>
          <w:rFonts w:ascii="David" w:hAnsi="David"/>
          <w:sz w:val="24"/>
          <w:szCs w:val="24"/>
          <w:rtl/>
        </w:rPr>
        <w:t>כחודש לאחר שפג תוקף הצו הקודם ביום 29.8.24</w:t>
      </w:r>
      <w:r w:rsidR="00322787">
        <w:rPr>
          <w:rFonts w:ascii="David" w:hAnsi="David" w:hint="cs"/>
          <w:sz w:val="24"/>
          <w:szCs w:val="24"/>
          <w:rtl/>
        </w:rPr>
        <w:t>.</w:t>
      </w:r>
      <w:r>
        <w:rPr>
          <w:rFonts w:ascii="David" w:hAnsi="David"/>
          <w:sz w:val="24"/>
          <w:szCs w:val="24"/>
          <w:rtl/>
        </w:rPr>
        <w:t xml:space="preserve"> לטענת המבקשת המשיב הפר את הצו מיום 24.5.24 עוד לפני שפג </w:t>
      </w:r>
      <w:r w:rsidR="00322787">
        <w:rPr>
          <w:rFonts w:ascii="David" w:hAnsi="David" w:hint="cs"/>
          <w:sz w:val="24"/>
          <w:szCs w:val="24"/>
          <w:rtl/>
        </w:rPr>
        <w:t xml:space="preserve">תקפו </w:t>
      </w:r>
      <w:r>
        <w:rPr>
          <w:rFonts w:ascii="David" w:hAnsi="David"/>
          <w:sz w:val="24"/>
          <w:szCs w:val="24"/>
          <w:rtl/>
        </w:rPr>
        <w:t>כאשר הגיע למקום עבודתה ורשם על שמשת הרכב שלה "</w:t>
      </w:r>
      <w:r>
        <w:rPr>
          <w:rFonts w:ascii="David" w:hAnsi="David"/>
          <w:b/>
          <w:bCs/>
          <w:sz w:val="24"/>
          <w:szCs w:val="24"/>
          <w:rtl/>
        </w:rPr>
        <w:t>תחזרי לסרסור שלך יזונה"</w:t>
      </w:r>
      <w:r w:rsidR="00322787">
        <w:rPr>
          <w:rFonts w:ascii="David" w:hAnsi="David" w:hint="cs"/>
          <w:b/>
          <w:bCs/>
          <w:sz w:val="24"/>
          <w:szCs w:val="24"/>
          <w:rtl/>
        </w:rPr>
        <w:t xml:space="preserve">. </w:t>
      </w:r>
      <w:r>
        <w:rPr>
          <w:rFonts w:ascii="David" w:hAnsi="David"/>
          <w:b/>
          <w:bCs/>
          <w:sz w:val="24"/>
          <w:szCs w:val="24"/>
          <w:rtl/>
        </w:rPr>
        <w:t xml:space="preserve"> </w:t>
      </w:r>
      <w:r w:rsidR="00322787">
        <w:rPr>
          <w:rFonts w:ascii="David" w:hAnsi="David" w:hint="cs"/>
          <w:sz w:val="24"/>
          <w:szCs w:val="24"/>
          <w:rtl/>
        </w:rPr>
        <w:t>לאחר ששמעתי את המבקשת במעמד צד אחד</w:t>
      </w:r>
      <w:r>
        <w:rPr>
          <w:rFonts w:ascii="David" w:hAnsi="David"/>
          <w:sz w:val="24"/>
          <w:szCs w:val="24"/>
          <w:rtl/>
        </w:rPr>
        <w:t xml:space="preserve"> ניתן צו הגנה במעמד צד אחד ו</w:t>
      </w:r>
      <w:r w:rsidR="00322787">
        <w:rPr>
          <w:rFonts w:ascii="David" w:hAnsi="David" w:hint="cs"/>
          <w:sz w:val="24"/>
          <w:szCs w:val="24"/>
          <w:rtl/>
        </w:rPr>
        <w:t>ה</w:t>
      </w:r>
      <w:r>
        <w:rPr>
          <w:rFonts w:ascii="David" w:hAnsi="David"/>
          <w:sz w:val="24"/>
          <w:szCs w:val="24"/>
          <w:rtl/>
        </w:rPr>
        <w:t>תבקשה תגובת המשיב.</w:t>
      </w:r>
    </w:p>
    <w:p w:rsidR="001773E7" w:rsidRDefault="001773E7" w:rsidP="001773E7">
      <w:pPr>
        <w:pStyle w:val="af"/>
        <w:rPr>
          <w:rFonts w:ascii="David" w:hAnsi="David"/>
        </w:rPr>
      </w:pPr>
    </w:p>
    <w:p w:rsidR="001773E7" w:rsidRDefault="001773E7" w:rsidP="001773E7">
      <w:pPr>
        <w:pStyle w:val="ad"/>
        <w:rPr>
          <w:rFonts w:ascii="David" w:hAnsi="David"/>
          <w:sz w:val="24"/>
          <w:szCs w:val="24"/>
          <w:rtl/>
        </w:rPr>
      </w:pPr>
    </w:p>
    <w:p w:rsidR="001773E7" w:rsidRDefault="001773E7" w:rsidP="00322787">
      <w:pPr>
        <w:pStyle w:val="ad"/>
        <w:numPr>
          <w:ilvl w:val="0"/>
          <w:numId w:val="1"/>
        </w:numPr>
        <w:jc w:val="left"/>
        <w:rPr>
          <w:rFonts w:ascii="David" w:hAnsi="David"/>
          <w:sz w:val="24"/>
          <w:szCs w:val="24"/>
          <w:rtl/>
        </w:rPr>
      </w:pPr>
      <w:r>
        <w:rPr>
          <w:rFonts w:ascii="David" w:hAnsi="David"/>
          <w:sz w:val="24"/>
          <w:szCs w:val="24"/>
          <w:rtl/>
        </w:rPr>
        <w:lastRenderedPageBreak/>
        <w:t>ביום 29.9.24 הוגשה תגובת ה</w:t>
      </w:r>
      <w:r w:rsidR="00322787">
        <w:rPr>
          <w:rFonts w:ascii="David" w:hAnsi="David" w:hint="cs"/>
          <w:sz w:val="24"/>
          <w:szCs w:val="24"/>
          <w:rtl/>
        </w:rPr>
        <w:t>משיב</w:t>
      </w:r>
      <w:r>
        <w:rPr>
          <w:rFonts w:ascii="David" w:hAnsi="David"/>
          <w:sz w:val="24"/>
          <w:szCs w:val="24"/>
          <w:rtl/>
        </w:rPr>
        <w:t>, בה עמד על קיומו של דיון ונקבע דיון במעמד שני הצדדים ליום 1.10.24.</w:t>
      </w:r>
    </w:p>
    <w:p w:rsidR="001773E7" w:rsidRDefault="001773E7" w:rsidP="001773E7">
      <w:pPr>
        <w:pStyle w:val="ad"/>
        <w:ind w:left="-382" w:firstLine="0"/>
        <w:jc w:val="left"/>
        <w:rPr>
          <w:rFonts w:ascii="David" w:hAnsi="David"/>
          <w:sz w:val="24"/>
          <w:szCs w:val="24"/>
          <w:rtl/>
        </w:rPr>
      </w:pPr>
    </w:p>
    <w:p w:rsidR="001773E7" w:rsidRDefault="001773E7" w:rsidP="001773E7">
      <w:pPr>
        <w:pStyle w:val="ad"/>
        <w:numPr>
          <w:ilvl w:val="0"/>
          <w:numId w:val="1"/>
        </w:numPr>
        <w:jc w:val="left"/>
        <w:rPr>
          <w:rFonts w:ascii="David" w:hAnsi="David"/>
          <w:sz w:val="24"/>
          <w:szCs w:val="24"/>
          <w:rtl/>
        </w:rPr>
      </w:pPr>
      <w:r>
        <w:rPr>
          <w:rFonts w:ascii="David" w:hAnsi="David"/>
          <w:sz w:val="24"/>
          <w:szCs w:val="24"/>
          <w:rtl/>
        </w:rPr>
        <w:t>במהלך הדיון שמעתי את הצדדים, המבקשת נחקרה על ידי המשיב ונשמעו סיכומים בנוסף אף הושמעו לי הקלטות.</w:t>
      </w:r>
    </w:p>
    <w:p w:rsidR="001773E7" w:rsidRDefault="001773E7" w:rsidP="001773E7">
      <w:pPr>
        <w:pStyle w:val="af"/>
        <w:rPr>
          <w:rFonts w:ascii="David" w:hAnsi="David"/>
        </w:rPr>
      </w:pPr>
    </w:p>
    <w:p w:rsidR="001773E7" w:rsidRDefault="001773E7" w:rsidP="001773E7">
      <w:pPr>
        <w:pStyle w:val="ad"/>
        <w:numPr>
          <w:ilvl w:val="0"/>
          <w:numId w:val="1"/>
        </w:numPr>
        <w:rPr>
          <w:rFonts w:ascii="David" w:hAnsi="David"/>
          <w:sz w:val="24"/>
          <w:szCs w:val="24"/>
          <w:rtl/>
        </w:rPr>
      </w:pPr>
      <w:r>
        <w:rPr>
          <w:rFonts w:ascii="David" w:hAnsi="David"/>
          <w:sz w:val="24"/>
          <w:szCs w:val="24"/>
          <w:rtl/>
        </w:rPr>
        <w:t xml:space="preserve">לאחר שלקחתי בחשבון את טענות הצדדים לרבות התנהלותו של המשיב הן בהליך זה והן בהליך בעניין הקטינים שמתנהל בפני במסגרתו המשיב אינו מקיים את החלטות בית המשפט באופן עקבי ואף הוטלו עליו מספר פעמים סנקציות כספיות משמעותיות והייתה לעיני התנהגותו הפוגענית המתמשכת (אשר בחלקה אף לא הוכחשה על ידו – אלא שניתנו לה הסברים לכאורה על ידי המשיב) ואשר לא יכולה להיות מחלוקת כי היא מהווה הטרדה מתמשכת, פגיעה באורח החיים התקין והסביר של המבקשת וילדי הצדדים וכן מהווה אלימות מילולית ונפשית, מצאתי לקבל את הבקשה ולהאריך את הצו שניתן במעמד צד אחד </w:t>
      </w:r>
      <w:r w:rsidR="00322787">
        <w:rPr>
          <w:rFonts w:ascii="David" w:hAnsi="David" w:hint="cs"/>
          <w:sz w:val="24"/>
          <w:szCs w:val="24"/>
          <w:rtl/>
        </w:rPr>
        <w:t xml:space="preserve">ביום 24.9.24 </w:t>
      </w:r>
      <w:r>
        <w:rPr>
          <w:rFonts w:ascii="David" w:hAnsi="David"/>
          <w:sz w:val="24"/>
          <w:szCs w:val="24"/>
          <w:rtl/>
        </w:rPr>
        <w:t>בשלושה חודשים מהיום.</w:t>
      </w:r>
    </w:p>
    <w:p w:rsidR="001773E7" w:rsidRDefault="001773E7" w:rsidP="001773E7">
      <w:pPr>
        <w:pStyle w:val="ad"/>
        <w:ind w:left="379" w:firstLine="0"/>
        <w:rPr>
          <w:rFonts w:ascii="David" w:hAnsi="David"/>
          <w:sz w:val="24"/>
          <w:szCs w:val="24"/>
          <w:rtl/>
        </w:rPr>
      </w:pPr>
    </w:p>
    <w:p w:rsidR="001773E7" w:rsidRDefault="001773E7" w:rsidP="001773E7">
      <w:pPr>
        <w:pStyle w:val="ad"/>
        <w:numPr>
          <w:ilvl w:val="0"/>
          <w:numId w:val="1"/>
        </w:numPr>
        <w:rPr>
          <w:rFonts w:ascii="David" w:hAnsi="David"/>
          <w:sz w:val="24"/>
          <w:szCs w:val="24"/>
          <w:rtl/>
        </w:rPr>
      </w:pPr>
      <w:r>
        <w:rPr>
          <w:rFonts w:ascii="David" w:hAnsi="David"/>
          <w:sz w:val="24"/>
          <w:szCs w:val="24"/>
          <w:rtl/>
        </w:rPr>
        <w:t>אין מחלוקת וכך גם במהלכו של הדיון המשיב מכנה את המבקשת ובן זוגה בגינויי גנאי מחפירים "זונה", "סרסור", "עבריין". כך גם לא קיימת מחלוקת כי המשיב מפר את החלטות בית המשפט.</w:t>
      </w:r>
    </w:p>
    <w:p w:rsidR="001773E7" w:rsidRDefault="001773E7" w:rsidP="001773E7">
      <w:pPr>
        <w:pStyle w:val="ad"/>
        <w:ind w:left="-382" w:firstLine="761"/>
        <w:jc w:val="left"/>
        <w:rPr>
          <w:rFonts w:ascii="David" w:hAnsi="David"/>
          <w:sz w:val="24"/>
          <w:szCs w:val="24"/>
          <w:rtl/>
        </w:rPr>
      </w:pPr>
      <w:r>
        <w:rPr>
          <w:rFonts w:ascii="David" w:hAnsi="David"/>
          <w:sz w:val="24"/>
          <w:szCs w:val="24"/>
          <w:rtl/>
        </w:rPr>
        <w:t>המשיב</w:t>
      </w:r>
      <w:r w:rsidR="00322787">
        <w:rPr>
          <w:rFonts w:ascii="David" w:hAnsi="David" w:hint="cs"/>
          <w:sz w:val="24"/>
          <w:szCs w:val="24"/>
          <w:rtl/>
        </w:rPr>
        <w:t>,</w:t>
      </w:r>
      <w:r>
        <w:rPr>
          <w:rFonts w:ascii="David" w:hAnsi="David"/>
          <w:sz w:val="24"/>
          <w:szCs w:val="24"/>
          <w:rtl/>
        </w:rPr>
        <w:t xml:space="preserve"> </w:t>
      </w:r>
      <w:r w:rsidR="00322787">
        <w:rPr>
          <w:rFonts w:ascii="David" w:hAnsi="David" w:hint="cs"/>
          <w:sz w:val="24"/>
          <w:szCs w:val="24"/>
          <w:rtl/>
        </w:rPr>
        <w:t>מ</w:t>
      </w:r>
      <w:r>
        <w:rPr>
          <w:rFonts w:ascii="David" w:hAnsi="David"/>
          <w:sz w:val="24"/>
          <w:szCs w:val="24"/>
          <w:rtl/>
        </w:rPr>
        <w:t xml:space="preserve">זמן רב עושה דין לעצמו, אינו מכבד החלטות </w:t>
      </w:r>
      <w:r w:rsidR="00322787">
        <w:rPr>
          <w:rFonts w:ascii="David" w:hAnsi="David" w:hint="cs"/>
          <w:sz w:val="24"/>
          <w:szCs w:val="24"/>
          <w:rtl/>
        </w:rPr>
        <w:t xml:space="preserve">בית משפט </w:t>
      </w:r>
      <w:r>
        <w:rPr>
          <w:rFonts w:ascii="David" w:hAnsi="David"/>
          <w:sz w:val="24"/>
          <w:szCs w:val="24"/>
          <w:rtl/>
        </w:rPr>
        <w:t>ונוהג ככל העולה על רוחו.</w:t>
      </w:r>
    </w:p>
    <w:p w:rsidR="001773E7" w:rsidRDefault="001773E7" w:rsidP="001773E7">
      <w:pPr>
        <w:pStyle w:val="ad"/>
        <w:ind w:left="-382" w:firstLine="761"/>
        <w:jc w:val="left"/>
        <w:rPr>
          <w:rFonts w:ascii="David" w:hAnsi="David"/>
          <w:sz w:val="24"/>
          <w:szCs w:val="24"/>
          <w:rtl/>
        </w:rPr>
      </w:pPr>
    </w:p>
    <w:p w:rsidR="001773E7" w:rsidRDefault="001773E7" w:rsidP="00322787">
      <w:pPr>
        <w:pStyle w:val="ad"/>
        <w:numPr>
          <w:ilvl w:val="0"/>
          <w:numId w:val="1"/>
        </w:numPr>
        <w:rPr>
          <w:rFonts w:ascii="David" w:hAnsi="David"/>
          <w:sz w:val="24"/>
          <w:szCs w:val="24"/>
          <w:rtl/>
        </w:rPr>
      </w:pPr>
      <w:r>
        <w:rPr>
          <w:rFonts w:ascii="David" w:hAnsi="David"/>
          <w:sz w:val="24"/>
          <w:szCs w:val="24"/>
          <w:rtl/>
        </w:rPr>
        <w:t>מצאתי לצטט מהחלטתי מיום 13.12.23 במסגרת הליך ה"ט 11347-12-22 הליך בבקשה למתן צו הגנה שהגישה המבקשת כנגד המשיב אשר בסיומו ניתן צו הגנה כנגד המשיב, שכן כל טעמי החלטתי שם תקפים אף להחלטתי היום, ועיון בהם מעלה כי המשיב לא למד דבר, שכן כמו בהליך בעניין הקטינים, אף בהתנהלותו כלפי המבקשת הוא חוזר ומבצע את אותן הפעולות הפוגעניות והמטרידות בגינן ניתנ</w:t>
      </w:r>
      <w:r w:rsidR="00322787">
        <w:rPr>
          <w:rFonts w:ascii="David" w:hAnsi="David" w:hint="cs"/>
          <w:sz w:val="24"/>
          <w:szCs w:val="24"/>
          <w:rtl/>
        </w:rPr>
        <w:t>ו</w:t>
      </w:r>
      <w:r>
        <w:rPr>
          <w:rFonts w:ascii="David" w:hAnsi="David"/>
          <w:sz w:val="24"/>
          <w:szCs w:val="24"/>
          <w:rtl/>
        </w:rPr>
        <w:t xml:space="preserve"> כנגדו צוו</w:t>
      </w:r>
      <w:r w:rsidR="00322787">
        <w:rPr>
          <w:rFonts w:ascii="David" w:hAnsi="David" w:hint="cs"/>
          <w:sz w:val="24"/>
          <w:szCs w:val="24"/>
          <w:rtl/>
        </w:rPr>
        <w:t>י</w:t>
      </w:r>
      <w:r>
        <w:rPr>
          <w:rFonts w:ascii="David" w:hAnsi="David"/>
          <w:sz w:val="24"/>
          <w:szCs w:val="24"/>
          <w:rtl/>
        </w:rPr>
        <w:t xml:space="preserve"> </w:t>
      </w:r>
      <w:r w:rsidR="00322787">
        <w:rPr>
          <w:rFonts w:ascii="David" w:hAnsi="David" w:hint="cs"/>
          <w:sz w:val="24"/>
          <w:szCs w:val="24"/>
          <w:rtl/>
        </w:rPr>
        <w:t>ה</w:t>
      </w:r>
      <w:r>
        <w:rPr>
          <w:rFonts w:ascii="David" w:hAnsi="David"/>
          <w:sz w:val="24"/>
          <w:szCs w:val="24"/>
          <w:rtl/>
        </w:rPr>
        <w:t xml:space="preserve">גנה </w:t>
      </w:r>
      <w:r w:rsidR="00322787">
        <w:rPr>
          <w:rFonts w:ascii="David" w:hAnsi="David" w:hint="cs"/>
          <w:sz w:val="24"/>
          <w:szCs w:val="24"/>
          <w:rtl/>
        </w:rPr>
        <w:t xml:space="preserve">כנגדו </w:t>
      </w:r>
      <w:r>
        <w:rPr>
          <w:rFonts w:ascii="David" w:hAnsi="David"/>
          <w:sz w:val="24"/>
          <w:szCs w:val="24"/>
          <w:rtl/>
        </w:rPr>
        <w:t>חזור והינתן ללא שיש בהחלטות בית המשפט כדי להרתיעו ולגרום לו לחדול ממעשיו.</w:t>
      </w:r>
    </w:p>
    <w:p w:rsidR="001773E7" w:rsidRDefault="001773E7" w:rsidP="001773E7">
      <w:pPr>
        <w:pStyle w:val="ad"/>
        <w:rPr>
          <w:rFonts w:ascii="David" w:hAnsi="David"/>
          <w:sz w:val="24"/>
          <w:szCs w:val="24"/>
        </w:rPr>
      </w:pPr>
    </w:p>
    <w:p w:rsidR="001773E7" w:rsidRDefault="001773E7" w:rsidP="001773E7">
      <w:pPr>
        <w:pStyle w:val="ad"/>
        <w:ind w:hanging="341"/>
        <w:rPr>
          <w:rFonts w:ascii="David" w:hAnsi="David"/>
          <w:sz w:val="24"/>
          <w:szCs w:val="24"/>
          <w:rtl/>
        </w:rPr>
      </w:pPr>
      <w:r>
        <w:rPr>
          <w:rFonts w:ascii="David" w:hAnsi="David"/>
          <w:sz w:val="24"/>
          <w:szCs w:val="24"/>
          <w:rtl/>
        </w:rPr>
        <w:t>להלן חלק מהחלטתי בה"ט 11347-12-22 אשר התנהל בין הצדדים מיום 13.12.23:</w:t>
      </w:r>
    </w:p>
    <w:p w:rsidR="001773E7" w:rsidRDefault="001773E7" w:rsidP="001773E7">
      <w:pPr>
        <w:pStyle w:val="ad"/>
        <w:ind w:left="-382" w:firstLine="761"/>
        <w:jc w:val="left"/>
        <w:rPr>
          <w:rFonts w:ascii="David" w:hAnsi="David"/>
          <w:sz w:val="24"/>
          <w:szCs w:val="24"/>
          <w:rtl/>
        </w:rPr>
      </w:pPr>
    </w:p>
    <w:p w:rsidR="001773E7" w:rsidRDefault="001773E7" w:rsidP="001773E7">
      <w:pPr>
        <w:spacing w:line="360" w:lineRule="auto"/>
        <w:ind w:left="720"/>
        <w:jc w:val="both"/>
        <w:rPr>
          <w:b/>
          <w:bCs/>
          <w:noProof w:val="0"/>
          <w:sz w:val="22"/>
          <w:szCs w:val="22"/>
          <w:rtl/>
        </w:rPr>
      </w:pPr>
      <w:r>
        <w:rPr>
          <w:b/>
          <w:bCs/>
          <w:sz w:val="22"/>
          <w:szCs w:val="22"/>
          <w:rtl/>
        </w:rPr>
        <w:t xml:space="preserve">"לצערי, חרף פרידת בני הזוג מזה פרק זמן משמעותי, נמצאים הצדדים בסכסוך בעצימות גבוהה, אשר לצערי גובה מחיר לא רק מהצדדים אלא גם מילדיהם הקטינים המצויים בעין הסערה ומשום כך מצויים בסיכון משמעותי, לכל הפחות רגשי. </w:t>
      </w:r>
    </w:p>
    <w:p w:rsidR="001773E7" w:rsidRDefault="001773E7" w:rsidP="001773E7">
      <w:pPr>
        <w:spacing w:line="360" w:lineRule="auto"/>
        <w:jc w:val="both"/>
        <w:rPr>
          <w:b/>
          <w:bCs/>
          <w:sz w:val="22"/>
          <w:szCs w:val="22"/>
        </w:rPr>
      </w:pPr>
    </w:p>
    <w:p w:rsidR="001773E7" w:rsidRDefault="001773E7" w:rsidP="001773E7">
      <w:pPr>
        <w:spacing w:line="360" w:lineRule="auto"/>
        <w:ind w:left="720"/>
        <w:jc w:val="both"/>
        <w:rPr>
          <w:b/>
          <w:bCs/>
          <w:sz w:val="22"/>
          <w:szCs w:val="22"/>
          <w:rtl/>
        </w:rPr>
      </w:pPr>
      <w:r>
        <w:rPr>
          <w:b/>
          <w:bCs/>
          <w:sz w:val="22"/>
          <w:szCs w:val="22"/>
          <w:rtl/>
        </w:rPr>
        <w:t xml:space="preserve">משנשמעו הצדדים בדיון לפני היום, והיו בפני גם טענות המבקשת בדיון במעמד צד אחד, כמו גם תגובתו של המשיב בכתב אשר הוגשה לתיק היום, ומשכאמור עניינם של הצדדים מוכר לי, והם נשמעו בפני כבר בהליכים אחרים, השתכנעתי כי יש בהתנהגותו של המשיב כלפי המבקשת בכלל </w:t>
      </w:r>
      <w:r>
        <w:rPr>
          <w:b/>
          <w:bCs/>
          <w:sz w:val="22"/>
          <w:szCs w:val="22"/>
          <w:rtl/>
        </w:rPr>
        <w:lastRenderedPageBreak/>
        <w:t>ובנוכחות הקטינים בפרט, משום התנהגות הכוללת שפה פוגענית ומשפילה, הנכנסת בגדר אלימות מילולית. כך גם מאמינה אני למבקשת על כך שהמשיב יורק על הקרקע באופן קולני והפגנתי, בכל מפגש מתוכנן או אקראי עמה, גם בנוכחות הקטינים ובנוכחות צדדי ג' ואף בהתנהגות זו יש משום התנהגות משפילה ופוגענית אשר איננה מאפשרת למבקשת לנהל אורח חיים סביר ותקין.</w:t>
      </w:r>
    </w:p>
    <w:p w:rsidR="001773E7" w:rsidRDefault="001773E7" w:rsidP="001773E7">
      <w:pPr>
        <w:spacing w:line="360" w:lineRule="auto"/>
        <w:jc w:val="both"/>
        <w:rPr>
          <w:b/>
          <w:bCs/>
          <w:sz w:val="22"/>
          <w:szCs w:val="22"/>
          <w:rtl/>
        </w:rPr>
      </w:pPr>
    </w:p>
    <w:p w:rsidR="001773E7" w:rsidRDefault="001773E7" w:rsidP="001773E7">
      <w:pPr>
        <w:spacing w:line="360" w:lineRule="auto"/>
        <w:ind w:left="720"/>
        <w:jc w:val="both"/>
        <w:rPr>
          <w:rtl/>
        </w:rPr>
      </w:pPr>
      <w:r>
        <w:rPr>
          <w:b/>
          <w:bCs/>
          <w:sz w:val="22"/>
          <w:szCs w:val="22"/>
          <w:rtl/>
        </w:rPr>
        <w:t>על כל אלה יש להוסיף כי התרשמתי שיש בהתנהגותו של המשיב כלפי המבקשת משום אובססיביות ביחס להתנהלותה עם גברים אחרים, שכן המשיב גם בדיון לפני היום וגם בדיונים נוספים שהתקיימו בפני, מצא לחזור ולא אחת על העובדה שהמבקשת, לטענתו נאפה ומשכך כאשר הוא מכנה אותה זונה הוא מתאר לכאורה את המציאות הקיימת לטענתו. חרף העובדה שלא נטענה טענה בדבר אלימות פיזית של המשיב כלפי המבקשת, הרי שהתנהלות זו יש בה לטעמי משום פוטנציאל למסוכנות וגם מטעם זה סבורה אני כי יש מקום להרחקת המשיב מהמבקשת.</w:t>
      </w:r>
      <w:r>
        <w:rPr>
          <w:rtl/>
        </w:rPr>
        <w:t xml:space="preserve">" </w:t>
      </w:r>
    </w:p>
    <w:p w:rsidR="001773E7" w:rsidRDefault="001773E7" w:rsidP="001773E7">
      <w:pPr>
        <w:pStyle w:val="ad"/>
        <w:ind w:left="-382" w:firstLine="761"/>
        <w:jc w:val="left"/>
        <w:rPr>
          <w:rFonts w:ascii="David" w:hAnsi="David"/>
          <w:sz w:val="24"/>
          <w:szCs w:val="24"/>
          <w:rtl/>
        </w:rPr>
      </w:pPr>
    </w:p>
    <w:p w:rsidR="001773E7" w:rsidRDefault="001773E7" w:rsidP="001773E7">
      <w:pPr>
        <w:pStyle w:val="ad"/>
        <w:numPr>
          <w:ilvl w:val="0"/>
          <w:numId w:val="1"/>
        </w:numPr>
        <w:jc w:val="left"/>
        <w:rPr>
          <w:rFonts w:ascii="David" w:hAnsi="David"/>
          <w:sz w:val="24"/>
          <w:szCs w:val="24"/>
          <w:rtl/>
        </w:rPr>
      </w:pPr>
      <w:r>
        <w:rPr>
          <w:rFonts w:ascii="David" w:hAnsi="David"/>
          <w:sz w:val="24"/>
          <w:szCs w:val="24"/>
          <w:rtl/>
        </w:rPr>
        <w:t>לנוכח המפורט, מצאתי כאמור לקבל את בקשת הנתבעת ולקבוע כי הצו שניתן ביום 24.9.24 י</w:t>
      </w:r>
      <w:r w:rsidR="00322787">
        <w:rPr>
          <w:rFonts w:ascii="David" w:hAnsi="David" w:hint="cs"/>
          <w:sz w:val="24"/>
          <w:szCs w:val="24"/>
          <w:rtl/>
        </w:rPr>
        <w:t>וארך וי</w:t>
      </w:r>
      <w:r>
        <w:rPr>
          <w:rFonts w:ascii="David" w:hAnsi="David"/>
          <w:sz w:val="24"/>
          <w:szCs w:val="24"/>
          <w:rtl/>
        </w:rPr>
        <w:t>ישאר בתוקף כשלושה חודשים מהיום עד ליום 1.1.25.</w:t>
      </w:r>
    </w:p>
    <w:p w:rsidR="001773E7" w:rsidRDefault="001773E7" w:rsidP="001773E7">
      <w:pPr>
        <w:pStyle w:val="ad"/>
        <w:jc w:val="left"/>
        <w:rPr>
          <w:rFonts w:ascii="David" w:hAnsi="David"/>
          <w:sz w:val="24"/>
          <w:szCs w:val="24"/>
        </w:rPr>
      </w:pPr>
    </w:p>
    <w:p w:rsidR="001773E7" w:rsidRDefault="001773E7" w:rsidP="001773E7">
      <w:pPr>
        <w:pStyle w:val="ad"/>
        <w:numPr>
          <w:ilvl w:val="0"/>
          <w:numId w:val="1"/>
        </w:numPr>
        <w:jc w:val="left"/>
        <w:rPr>
          <w:rFonts w:ascii="David" w:hAnsi="David"/>
          <w:sz w:val="24"/>
          <w:szCs w:val="24"/>
          <w:rtl/>
        </w:rPr>
      </w:pPr>
      <w:r>
        <w:rPr>
          <w:rFonts w:ascii="David" w:hAnsi="David"/>
          <w:sz w:val="24"/>
          <w:szCs w:val="24"/>
          <w:rtl/>
        </w:rPr>
        <w:t>לא מצאתי לקבל את טענת המשיב, כי הפרת הצו הקודם נעשתה בשל שהתנהגות המבקשת גרמה לכך ואני דוחה טענה זו.</w:t>
      </w:r>
    </w:p>
    <w:p w:rsidR="001773E7" w:rsidRDefault="001773E7" w:rsidP="001773E7">
      <w:pPr>
        <w:pStyle w:val="af"/>
        <w:rPr>
          <w:rFonts w:ascii="David" w:hAnsi="David"/>
        </w:rPr>
      </w:pPr>
    </w:p>
    <w:p w:rsidR="001773E7" w:rsidRDefault="001773E7" w:rsidP="001773E7">
      <w:pPr>
        <w:pStyle w:val="ad"/>
        <w:numPr>
          <w:ilvl w:val="0"/>
          <w:numId w:val="1"/>
        </w:numPr>
        <w:jc w:val="left"/>
        <w:rPr>
          <w:rFonts w:ascii="David" w:hAnsi="David"/>
          <w:sz w:val="24"/>
          <w:szCs w:val="24"/>
          <w:rtl/>
        </w:rPr>
      </w:pPr>
      <w:r>
        <w:rPr>
          <w:rFonts w:ascii="David" w:hAnsi="David"/>
          <w:sz w:val="24"/>
          <w:szCs w:val="24"/>
          <w:rtl/>
        </w:rPr>
        <w:t>בנוסף, ככל שהמבקשת סבורה כי מתקיימות הנסיבות למתן אורכה נוספת</w:t>
      </w:r>
      <w:r w:rsidR="00322787">
        <w:rPr>
          <w:rFonts w:ascii="David" w:hAnsi="David" w:hint="cs"/>
          <w:sz w:val="24"/>
          <w:szCs w:val="24"/>
          <w:rtl/>
        </w:rPr>
        <w:t xml:space="preserve"> לקראת סיומו</w:t>
      </w:r>
      <w:r w:rsidR="0059359D">
        <w:rPr>
          <w:rFonts w:ascii="David" w:hAnsi="David" w:hint="cs"/>
          <w:sz w:val="24"/>
          <w:szCs w:val="24"/>
          <w:rtl/>
        </w:rPr>
        <w:t xml:space="preserve"> של תוקף צו זה</w:t>
      </w:r>
      <w:r>
        <w:rPr>
          <w:rFonts w:ascii="David" w:hAnsi="David"/>
          <w:sz w:val="24"/>
          <w:szCs w:val="24"/>
          <w:rtl/>
        </w:rPr>
        <w:t>, באפשרותה להגיש בקשה מתאימה כ- 7 ימים לפני סיום תוקפו של הצו.</w:t>
      </w:r>
    </w:p>
    <w:p w:rsidR="001773E7" w:rsidRDefault="001773E7" w:rsidP="0059359D">
      <w:pPr>
        <w:pStyle w:val="af"/>
        <w:jc w:val="both"/>
        <w:rPr>
          <w:rFonts w:ascii="David" w:hAnsi="David"/>
        </w:rPr>
      </w:pPr>
    </w:p>
    <w:p w:rsidR="001773E7" w:rsidRDefault="001773E7" w:rsidP="0059359D">
      <w:pPr>
        <w:pStyle w:val="ad"/>
        <w:numPr>
          <w:ilvl w:val="0"/>
          <w:numId w:val="1"/>
        </w:numPr>
        <w:rPr>
          <w:rFonts w:ascii="David" w:hAnsi="David"/>
          <w:sz w:val="24"/>
          <w:szCs w:val="24"/>
          <w:rtl/>
        </w:rPr>
      </w:pPr>
      <w:r>
        <w:rPr>
          <w:rFonts w:ascii="David" w:hAnsi="David"/>
          <w:sz w:val="24"/>
          <w:szCs w:val="24"/>
          <w:rtl/>
        </w:rPr>
        <w:t>לנוכח קבלת הבקשה בנסיבות שפורטו, ועמידתו של המשיב על קיומו של הדיון (אשר נקבע רק לאחר קבלת תגובתו ועמידתו על קיום הדיון) מצאתי להטיל על המשיב הוצאות באופן שהמשיב ישלם הוצאות בסך של 5,000 ₪ לידי המשיבה וכן ישלם הוצאות בסך של 5,000 ₪ לאוצר המדינה בגין הצורך לקיים את הדיון אף שהמבקש ממילא הודה בחלק מהעובדות (אם כי נתן להן הסבר שנדחה) וכן בגין היותו של המשיב מפר את החלטות בית המשפט כפי שפורט לעיל, באופן עקבי ומתמשך.</w:t>
      </w:r>
    </w:p>
    <w:p w:rsidR="001773E7" w:rsidRDefault="001773E7" w:rsidP="001773E7">
      <w:pPr>
        <w:pStyle w:val="af"/>
        <w:rPr>
          <w:rFonts w:ascii="David" w:hAnsi="David"/>
        </w:rPr>
      </w:pPr>
    </w:p>
    <w:p w:rsidR="001773E7" w:rsidRDefault="001773E7" w:rsidP="001773E7">
      <w:pPr>
        <w:pStyle w:val="ad"/>
        <w:ind w:left="1099"/>
        <w:jc w:val="left"/>
        <w:rPr>
          <w:rFonts w:ascii="David" w:hAnsi="David"/>
          <w:sz w:val="24"/>
          <w:szCs w:val="24"/>
          <w:rtl/>
        </w:rPr>
      </w:pPr>
      <w:r>
        <w:rPr>
          <w:rFonts w:ascii="David" w:hAnsi="David"/>
          <w:sz w:val="24"/>
          <w:szCs w:val="24"/>
          <w:rtl/>
        </w:rPr>
        <w:t>ההוצאות ישולמו בתוך 7 ימים.</w:t>
      </w:r>
    </w:p>
    <w:p w:rsidR="0059359D" w:rsidRDefault="0059359D" w:rsidP="0059359D">
      <w:pPr>
        <w:pStyle w:val="ad"/>
        <w:ind w:left="1099"/>
        <w:jc w:val="left"/>
        <w:rPr>
          <w:rFonts w:ascii="David" w:hAnsi="David"/>
          <w:sz w:val="24"/>
          <w:szCs w:val="24"/>
          <w:rtl/>
        </w:rPr>
      </w:pPr>
    </w:p>
    <w:p w:rsidR="0059359D" w:rsidRDefault="0059359D" w:rsidP="0059359D">
      <w:pPr>
        <w:pStyle w:val="ad"/>
        <w:ind w:left="1099"/>
        <w:jc w:val="left"/>
        <w:rPr>
          <w:rFonts w:ascii="David" w:hAnsi="David"/>
          <w:sz w:val="24"/>
          <w:szCs w:val="24"/>
          <w:rtl/>
        </w:rPr>
      </w:pPr>
      <w:r>
        <w:rPr>
          <w:rFonts w:ascii="David" w:hAnsi="David" w:hint="cs"/>
          <w:sz w:val="24"/>
          <w:szCs w:val="24"/>
          <w:rtl/>
        </w:rPr>
        <w:t>החלטתי ניתנת לפרסום ללא פרטים מזהים.</w:t>
      </w:r>
    </w:p>
    <w:p w:rsidR="001773E7" w:rsidRDefault="001773E7" w:rsidP="001773E7">
      <w:pPr>
        <w:pStyle w:val="ad"/>
        <w:ind w:left="1099"/>
        <w:jc w:val="left"/>
        <w:rPr>
          <w:rFonts w:ascii="David" w:hAnsi="David"/>
          <w:sz w:val="24"/>
          <w:szCs w:val="24"/>
          <w:rtl/>
        </w:rPr>
      </w:pPr>
    </w:p>
    <w:p w:rsidR="001773E7" w:rsidRDefault="001773E7" w:rsidP="001773E7">
      <w:pPr>
        <w:pStyle w:val="ad"/>
        <w:ind w:left="1099"/>
        <w:jc w:val="left"/>
        <w:rPr>
          <w:rFonts w:ascii="David" w:hAnsi="David"/>
          <w:sz w:val="24"/>
          <w:szCs w:val="24"/>
          <w:rtl/>
        </w:rPr>
      </w:pPr>
      <w:r>
        <w:rPr>
          <w:rFonts w:ascii="David" w:hAnsi="David"/>
          <w:sz w:val="24"/>
          <w:szCs w:val="24"/>
          <w:rtl/>
        </w:rPr>
        <w:t>תואיל המזכירות להמציא החלטתי שניתנה בהיעדר הצדדים, לצדדים ותסגור את התיק.</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03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10205" w:rsidP="00633C4F">
      <w:pPr>
        <w:spacing w:line="360" w:lineRule="auto"/>
        <w:ind w:left="3600" w:firstLine="720"/>
      </w:pPr>
      <w:sdt>
        <w:sdtPr>
          <w:rPr>
            <w:rtl/>
          </w:rPr>
          <w:alias w:val="MergeField"/>
          <w:tag w:val="1237"/>
          <w:id w:val="-2078897582"/>
        </w:sdtPr>
        <w:sdtEndPr/>
        <w:sdtContent>
          <w:r w:rsidR="00537FE3">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0205" w:rsidRDefault="00910205">
      <w:r>
        <w:separator/>
      </w:r>
    </w:p>
  </w:endnote>
  <w:endnote w:type="continuationSeparator" w:id="0">
    <w:p w:rsidR="00910205" w:rsidRDefault="0091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0A5" w:rsidRDefault="00CA30A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273C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273CC">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0A5" w:rsidRDefault="00CA30A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0205" w:rsidRDefault="00910205">
      <w:r>
        <w:separator/>
      </w:r>
    </w:p>
  </w:footnote>
  <w:footnote w:type="continuationSeparator" w:id="0">
    <w:p w:rsidR="00910205" w:rsidRDefault="00910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0A5" w:rsidRDefault="00CA30A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10205" w:rsidP="00A7322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ה"ט</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63267-09-24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ט</w:t>
              </w:r>
              <w:r w:rsidR="00A73220">
                <w:rPr>
                  <w:rFonts w:hint="cs"/>
                  <w:b/>
                  <w:bCs/>
                  <w:noProof w:val="0"/>
                  <w:sz w:val="26"/>
                  <w:szCs w:val="26"/>
                  <w:rtl/>
                </w:rPr>
                <w:t>'</w:t>
              </w:r>
              <w:r w:rsidR="00FB3C14">
                <w:rPr>
                  <w:b/>
                  <w:bCs/>
                  <w:noProof w:val="0"/>
                  <w:sz w:val="26"/>
                  <w:szCs w:val="26"/>
                  <w:rtl/>
                </w:rPr>
                <w:t xml:space="preserve"> נ' כ</w:t>
              </w:r>
              <w:r w:rsidR="00A73220">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0A5" w:rsidRDefault="00CA30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D1B9B"/>
    <w:multiLevelType w:val="hybridMultilevel"/>
    <w:tmpl w:val="3AE273DE"/>
    <w:lvl w:ilvl="0" w:tplc="0409000F">
      <w:start w:val="1"/>
      <w:numFmt w:val="decimal"/>
      <w:lvlText w:val="%1."/>
      <w:lvlJc w:val="left"/>
      <w:pPr>
        <w:ind w:left="379" w:hanging="360"/>
      </w:pPr>
    </w:lvl>
    <w:lvl w:ilvl="1" w:tplc="04090019">
      <w:start w:val="1"/>
      <w:numFmt w:val="lowerLetter"/>
      <w:lvlText w:val="%2."/>
      <w:lvlJc w:val="left"/>
      <w:pPr>
        <w:ind w:left="1099" w:hanging="360"/>
      </w:pPr>
    </w:lvl>
    <w:lvl w:ilvl="2" w:tplc="0409001B">
      <w:start w:val="1"/>
      <w:numFmt w:val="lowerRoman"/>
      <w:lvlText w:val="%3."/>
      <w:lvlJc w:val="right"/>
      <w:pPr>
        <w:ind w:left="1819" w:hanging="180"/>
      </w:pPr>
    </w:lvl>
    <w:lvl w:ilvl="3" w:tplc="0409000F">
      <w:start w:val="1"/>
      <w:numFmt w:val="decimal"/>
      <w:lvlText w:val="%4."/>
      <w:lvlJc w:val="left"/>
      <w:pPr>
        <w:ind w:left="2539" w:hanging="360"/>
      </w:pPr>
    </w:lvl>
    <w:lvl w:ilvl="4" w:tplc="04090019">
      <w:start w:val="1"/>
      <w:numFmt w:val="lowerLetter"/>
      <w:lvlText w:val="%5."/>
      <w:lvlJc w:val="left"/>
      <w:pPr>
        <w:ind w:left="3259" w:hanging="360"/>
      </w:pPr>
    </w:lvl>
    <w:lvl w:ilvl="5" w:tplc="0409001B">
      <w:start w:val="1"/>
      <w:numFmt w:val="lowerRoman"/>
      <w:lvlText w:val="%6."/>
      <w:lvlJc w:val="right"/>
      <w:pPr>
        <w:ind w:left="3979" w:hanging="180"/>
      </w:pPr>
    </w:lvl>
    <w:lvl w:ilvl="6" w:tplc="0409000F">
      <w:start w:val="1"/>
      <w:numFmt w:val="decimal"/>
      <w:lvlText w:val="%7."/>
      <w:lvlJc w:val="left"/>
      <w:pPr>
        <w:ind w:left="4699" w:hanging="360"/>
      </w:pPr>
    </w:lvl>
    <w:lvl w:ilvl="7" w:tplc="04090019">
      <w:start w:val="1"/>
      <w:numFmt w:val="lowerLetter"/>
      <w:lvlText w:val="%8."/>
      <w:lvlJc w:val="left"/>
      <w:pPr>
        <w:ind w:left="5419" w:hanging="360"/>
      </w:pPr>
    </w:lvl>
    <w:lvl w:ilvl="8" w:tplc="0409001B">
      <w:start w:val="1"/>
      <w:numFmt w:val="lowerRoman"/>
      <w:lvlText w:val="%9."/>
      <w:lvlJc w:val="right"/>
      <w:pPr>
        <w:ind w:left="613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8932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89322&amp;lt;/CaseID&amp;gt;_x000d__x000a_        &amp;lt;CaseMonth&amp;gt;9&amp;lt;/CaseMonth&amp;gt;_x000d__x000a_        &amp;lt;CaseYear&amp;gt;2024&amp;lt;/CaseYear&amp;gt;_x000d__x000a_        &amp;lt;CaseNumber&amp;gt;63267&amp;lt;/CaseNumber&amp;gt;_x000d__x000a_        &amp;lt;NumeratorGroupID&amp;gt;1&amp;lt;/NumeratorGroupID&amp;gt;_x000d__x000a_        &amp;lt;CaseName&amp;gt;טהורי כהן נ&amp;#39; כהן&amp;lt;/CaseName&amp;gt;_x000d__x000a_        &amp;lt;CourtID&amp;gt;35&amp;lt;/CourtID&amp;gt;_x000d__x000a_        &amp;lt;CaseTypeID&amp;gt;10177&amp;lt;/CaseTypeID&amp;gt;_x000d__x000a_        &amp;lt;CaseInterestID&amp;gt;94&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3267-09-24&amp;lt;/CaseDisplayIdentifier&amp;gt;_x000d__x000a_        &amp;lt;CaseTypeDesc&amp;gt;ה&amp;quot;ט&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10-01T09:00:00+03:00&amp;lt;/CasePreviousSessionDate&amp;gt;_x000d__x000a_        &amp;lt;CaseNextDeterminingTask&amp;gt;151&amp;lt;/CaseNextDeterminingTask&amp;gt;_x000d__x000a_        &amp;lt;TemporaryAidStatus /&amp;gt;_x000d__x000a_        &amp;lt;CaseOpenDate&amp;gt;2024-09-24T11:18: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43&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89322&amp;lt;/CaseID&amp;gt;_x000d__x000a_        &amp;lt;CaseMonth&amp;gt;9&amp;lt;/CaseMonth&amp;gt;_x000d__x000a_        &amp;lt;CaseYear&amp;gt;2024&amp;lt;/CaseYear&amp;gt;_x000d__x000a_        &amp;lt;CaseNumber&amp;gt;63267&amp;lt;/CaseNumber&amp;gt;_x000d__x000a_        &amp;lt;NumeratorGroupID&amp;gt;1&amp;lt;/NumeratorGroupID&amp;gt;_x000d__x000a_        &amp;lt;CaseName&amp;gt;טהורי כהן נ&amp;#39; כהן&amp;lt;/CaseName&amp;gt;_x000d__x000a_        &amp;lt;CourtID&amp;gt;35&amp;lt;/CourtID&amp;gt;_x000d__x000a_        &amp;lt;CaseTypeID&amp;gt;10177&amp;lt;/CaseTypeID&amp;gt;_x000d__x000a_        &amp;lt;CaseInterestID&amp;gt;94&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3267-09-24&amp;lt;/CaseDisplayIdentifier&amp;gt;_x000d__x000a_        &amp;lt;CaseTypeDesc&amp;gt;ה&amp;quot;ט&amp;lt;/CaseTypeDesc&amp;gt;_x000d__x000a_        &amp;lt;CourtDesc&amp;gt;שלום פתח תקווה&amp;lt;/CourtDesc&amp;gt;_x000d__x000a_        &amp;lt;CaseStageDesc&amp;gt;תיק אלקטרוני&amp;lt;/CaseStageDesc&amp;gt;_x000d__x000a_        &amp;lt;CaseNextDeterminingTask&amp;gt;151&amp;lt;/CaseNextDeterminingTask&amp;gt;_x000d__x000a_        &amp;lt;CaseOpenDate&amp;gt;2024-09-24T11:18: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03T15:53:14.958214+03:00&amp;lt;/DecisionStatusChangeDate&amp;gt;_x000d__x000a_        &amp;lt;DecisionSignatureDate&amp;gt;2024-10-03T15:53:14.958214+03:00&amp;lt;/DecisionSignatureDate&amp;gt;_x000d__x000a_        &amp;lt;DecisionSignatureUserID&amp;gt;022259600@GOV.IL&amp;lt;/DecisionSignatureUserID&amp;gt;_x000d__x000a_        &amp;lt;DecisionCreateDate&amp;gt;2024-10-03T15:53:14.958214+03:00&amp;lt;/DecisionCreateDate&amp;gt;_x000d__x000a_        &amp;lt;DecisionChangeDate&amp;gt;2024-10-03T15:53:14.958214+03: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5960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98932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94"/>
    <w:docVar w:name="NGCS.TemplateCaseTypeID" w:val="10177"/>
    <w:docVar w:name="NGCS.TemplateCategoryID" w:val="80"/>
    <w:docVar w:name="NGCS.TemplateCourtID" w:val="35"/>
    <w:docVar w:name="NGCS.TemplateProceedingID" w:val="3"/>
    <w:docVar w:name="SelectedDocumentID" w:val="456784923"/>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0B5B"/>
    <w:rsid w:val="0014234E"/>
    <w:rsid w:val="00145A87"/>
    <w:rsid w:val="001773E7"/>
    <w:rsid w:val="001C4003"/>
    <w:rsid w:val="001F5474"/>
    <w:rsid w:val="002352F7"/>
    <w:rsid w:val="0025076B"/>
    <w:rsid w:val="0027277D"/>
    <w:rsid w:val="00322787"/>
    <w:rsid w:val="00381D3A"/>
    <w:rsid w:val="003823DA"/>
    <w:rsid w:val="0043595F"/>
    <w:rsid w:val="0047645A"/>
    <w:rsid w:val="004D49A3"/>
    <w:rsid w:val="004D50AC"/>
    <w:rsid w:val="004E6E3C"/>
    <w:rsid w:val="005124F1"/>
    <w:rsid w:val="00530BAD"/>
    <w:rsid w:val="00537FE3"/>
    <w:rsid w:val="00541598"/>
    <w:rsid w:val="00547DB7"/>
    <w:rsid w:val="00567324"/>
    <w:rsid w:val="0059359D"/>
    <w:rsid w:val="005B0F49"/>
    <w:rsid w:val="005C7EC6"/>
    <w:rsid w:val="005D4BDB"/>
    <w:rsid w:val="00622BAA"/>
    <w:rsid w:val="00625C89"/>
    <w:rsid w:val="006319DF"/>
    <w:rsid w:val="00633C4F"/>
    <w:rsid w:val="00671BD5"/>
    <w:rsid w:val="006805C1"/>
    <w:rsid w:val="006816EC"/>
    <w:rsid w:val="00694556"/>
    <w:rsid w:val="006967EC"/>
    <w:rsid w:val="006E1A53"/>
    <w:rsid w:val="007056AA"/>
    <w:rsid w:val="00744F41"/>
    <w:rsid w:val="007A24FE"/>
    <w:rsid w:val="007A35AA"/>
    <w:rsid w:val="007F1048"/>
    <w:rsid w:val="00820005"/>
    <w:rsid w:val="008273CC"/>
    <w:rsid w:val="00846D27"/>
    <w:rsid w:val="008610A7"/>
    <w:rsid w:val="008E1332"/>
    <w:rsid w:val="00903896"/>
    <w:rsid w:val="00910205"/>
    <w:rsid w:val="00927813"/>
    <w:rsid w:val="00944D13"/>
    <w:rsid w:val="00957C90"/>
    <w:rsid w:val="009B70F6"/>
    <w:rsid w:val="009C358E"/>
    <w:rsid w:val="009E0263"/>
    <w:rsid w:val="00A267CF"/>
    <w:rsid w:val="00A342BD"/>
    <w:rsid w:val="00A43458"/>
    <w:rsid w:val="00A73220"/>
    <w:rsid w:val="00A81AC5"/>
    <w:rsid w:val="00AC1BF8"/>
    <w:rsid w:val="00AC4E19"/>
    <w:rsid w:val="00AF1ED6"/>
    <w:rsid w:val="00B32C61"/>
    <w:rsid w:val="00B368FE"/>
    <w:rsid w:val="00B80CBD"/>
    <w:rsid w:val="00BC3369"/>
    <w:rsid w:val="00BF77EE"/>
    <w:rsid w:val="00C32E0F"/>
    <w:rsid w:val="00C42BF9"/>
    <w:rsid w:val="00C83E56"/>
    <w:rsid w:val="00CA30A5"/>
    <w:rsid w:val="00CB1942"/>
    <w:rsid w:val="00CC63CE"/>
    <w:rsid w:val="00D319B3"/>
    <w:rsid w:val="00D36A71"/>
    <w:rsid w:val="00D53924"/>
    <w:rsid w:val="00D60849"/>
    <w:rsid w:val="00D86CF3"/>
    <w:rsid w:val="00D96D8C"/>
    <w:rsid w:val="00DA755B"/>
    <w:rsid w:val="00DD337E"/>
    <w:rsid w:val="00E00B6F"/>
    <w:rsid w:val="00E44DDF"/>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Body Text Indent"/>
    <w:basedOn w:val="a"/>
    <w:link w:val="ae"/>
    <w:semiHidden/>
    <w:unhideWhenUsed/>
    <w:rsid w:val="001773E7"/>
    <w:pPr>
      <w:spacing w:line="360" w:lineRule="auto"/>
      <w:ind w:left="720" w:hanging="720"/>
      <w:jc w:val="both"/>
    </w:pPr>
    <w:rPr>
      <w:noProof w:val="0"/>
      <w:sz w:val="20"/>
      <w:szCs w:val="28"/>
      <w:lang w:eastAsia="he-IL"/>
    </w:rPr>
  </w:style>
  <w:style w:type="character" w:customStyle="1" w:styleId="ae">
    <w:name w:val="כניסה בגוף טקסט תו"/>
    <w:basedOn w:val="a0"/>
    <w:link w:val="ad"/>
    <w:semiHidden/>
    <w:rsid w:val="001773E7"/>
    <w:rPr>
      <w:rFonts w:cs="David"/>
      <w:szCs w:val="28"/>
      <w:lang w:eastAsia="he-IL"/>
    </w:rPr>
  </w:style>
  <w:style w:type="paragraph" w:styleId="af">
    <w:name w:val="List Paragraph"/>
    <w:basedOn w:val="a"/>
    <w:uiPriority w:val="34"/>
    <w:qFormat/>
    <w:rsid w:val="001773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5668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4295A"/>
    <w:rsid w:val="00667CB0"/>
    <w:rsid w:val="00833049"/>
    <w:rsid w:val="00A10CF8"/>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81989322</CaseID>
    <CaseJudicialPersonPresentationDS>
      <CaseJudicalPersonActive>
        <CaseID>81989322</CaseID>
        <JudicialPersonID>022259600@GOV.IL</JudicialPersonID>
        <JudicialPersonTypeID>1</JudicialPersonTypeID>
        <JudicialTypeID>1</JudicialTypeID>
        <IsChairman>false</IsChairman>
        <TreatmentStartDate>2024-09-24T11:20:58.05+03:00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משטרת ישראל</RoleName>
        <IsSubProceeding>FALSE</IsSubProceeding>
        <FullName>מסובים</FullName>
        <FirstName/>
        <LastName>מסובים</LastName>
        <PartyPropertyName/>
        <AuthenticationTypeAndNumber>תחנת משטרה 30</AuthenticationTypeAndNumber>
        <RepresentatedOrRepresentativesNames/>
        <RepresentatedOrRepresentativesCount>0</RepresentatedOrRepresentativesCount>
        <InvitedBy/>
        <CaseID>81989322</CaseID>
        <CaseJudicialPersonPresentationDS>
          <CaseJudicalPersonActive>
            <CaseID>81989322</CaseID>
            <JudicialPersonID>022259600@GOV.IL</JudicialPersonID>
            <JudicialPersonTypeID>1</JudicialPersonTypeID>
            <JudicialTypeID>1</JudicialTypeID>
            <IsChairman>false</IsChairman>
            <TreatmentStartDate>2024-09-24T11:20:58.05+03:00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277932155</CasePartyID>
        <PartyTypeID>3</PartyTypeID>
        <ActivityStatusID>1</ActivityStatusID>
        <LegalEntityID>54</LegalEntityID>
        <CaseLegalEntityID>132418944</CaseLegalEntityID>
        <AssistantRoleID>29</AssistantRoleID>
        <AuthenticationTypeID>38</AuthenticationTypeID>
        <AuthenticationTypeName>תחנת משטרה</AuthenticationTypeName>
        <LegalEntityNumber>30</LegalEntityNumber>
        <IsMainPartyType>true</IsMainPartyType>
        <CaseDisplayIdentifier>63267-09-24</CaseDisplayIdentifier>
        <CaseTypeID>10177</CaseTypeID>
        <CaseTypeName>הטרדה מאיימת וצו הגנה (ה"ט)</CaseTypeName>
        <CaseName>טהורי כהן נ' כהן</CaseName>
        <FullAddress>דרך לוד אור יהודה </FullAddress>
        <MotionID>0</MotionID>
        <CasePleaID>0</CasePleaID>
        <LinkedCaseID>0</LinkedCaseID>
        <PartyID>1</PartyID>
        <CasePartyCategoryID>2</CasePartyCategoryID>
        <LegalEntityAddressID>21200287</LegalEntityAddressID>
        <PleaTypeID>5</PleaTypeID>
        <GroupPartyAlias/>
        <IsConverted>false</IsConverted>
        <LegalEntityNameID>95123109</LegalEntityNameID>
        <RepresentatedNamesOfAssistant/>
        <LegalEntityTypeID>14</LegalEntityTypeID>
        <IsVerdictExists>false</IsVerdictExists>
        <IsAsirAzir>false</IsAsirAzir>
        <MainAndSecSpec/>
        <IsPublicationProhibited>false</IsPublicationProhibited>
        <PublicationProhibitedFullName>מסובים</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81989322</CaseID>
        <CaseJudicialPersonPresentationDS>
          <CaseJudicalPersonActive>
            <CaseID>81989322</CaseID>
            <JudicialPersonID>022259600@GOV.IL</JudicialPersonID>
            <JudicialPersonTypeID>1</JudicialPersonTypeID>
            <JudicialTypeID>1</JudicialTypeID>
            <IsChairman>false</IsChairman>
            <TreatmentStartDate>2024-09-24T11:20:58.05+03:00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277916371</CasePartyID>
        <PartyTypeID>3</PartyTypeID>
        <ActivityStatusID>1</ActivityStatusID>
        <OrdinalNumber>1</OrdinalNumber>
        <LegalEntityID>379235</LegalEntityID>
        <CaseLegalEntityID>132414218</CaseLegalEntityID>
        <AssistantRoleID>18</AssistantRoleID>
        <AuthenticationTypeID>13</AuthenticationTypeID>
        <AuthenticationTypeName>משרדי ממשלה</AuthenticationTypeName>
        <LegalEntityNumber>500106215</LegalEntityNumber>
        <IsMainPartyType>true</IsMainPartyType>
        <CaseDisplayIdentifier>63267-09-24</CaseDisplayIdentifier>
        <CaseTypeID>10177</CaseTypeID>
        <CaseTypeName>הטרדה מאיימת וצו הגנה (ה"ט)</CaseTypeName>
        <CaseName>טהורי כהן נ' כהן</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אפרת טהורי</FullName>
        <FirstName>אפרת</FirstName>
        <LastName>טהורי כהן</LastName>
        <PartyPropertyName/>
        <AuthenticationTypeAndNumber>ת"ז 043398270</AuthenticationTypeAndNumber>
        <RepresentatedOrRepresentativesNames/>
        <RepresentatedOrRepresentativesCount>0</RepresentatedOrRepresentativesCount>
        <InvitedBy/>
        <CaseID>81989322</CaseID>
        <CaseJudicialPersonPresentationDS>
          <CaseJudicalPersonActive>
            <CaseID>81989322</CaseID>
            <JudicialPersonID>022259600@GOV.IL</JudicialPersonID>
            <JudicialPersonTypeID>1</JudicialPersonTypeID>
            <JudicialTypeID>1</JudicialTypeID>
            <IsChairman>false</IsChairman>
            <TreatmentStartDate>2024-09-24T11:20:58.05+03:00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277916372</CasePartyID>
        <PartyTypeID>1</PartyTypeID>
        <ActivityStatusID>1</ActivityStatusID>
        <PartyAliasID>3</PartyAliasID>
        <PartyAliasName>מבקש</PartyAliasName>
        <OrdinalNumber>1</OrdinalNumber>
        <LegalEntityID>58029551</LegalEntityID>
        <CaseLegalEntityID>132414219</CaseLegalEntityID>
        <AuthenticationTypeID>1</AuthenticationTypeID>
        <AuthenticationTypeName>ת"ז</AuthenticationTypeName>
        <LegalEntityNumber>043398270</LegalEntityNumber>
        <IsMainPartyType>true</IsMainPartyType>
        <CaseDisplayIdentifier>63267-09-24</CaseDisplayIdentifier>
        <CaseTypeID>10177</CaseTypeID>
        <CaseTypeName>הטרדה מאיימת וצו הגנה (ה"ט)</CaseTypeName>
        <CaseName>טהורי כהן נ' כהן</CaseName>
        <FullAddress>חרמון 6 אור יהודה </FullAddress>
        <MotionID>0</MotionID>
        <CasePleaID>0</CasePleaID>
        <FatherName>יוסף</FatherName>
        <LinkedCaseID>0</LinkedCaseID>
        <PartyID>1</PartyID>
        <CasePartyCategoryID>2</CasePartyCategoryID>
        <LegalEntityAddressID>90992872</LegalEntityAddressID>
        <GrandfatherName/>
        <DrivingLicenseNumber>8122612</DrivingLicenseNumber>
        <PleaTypeID>5</PleaTypeID>
        <GroupPartyAlias>מבקשים</GroupPartyAlias>
        <IsConverted>false</IsConverted>
        <LegalEntityRegisteredNameID>10034315</LegalEntityRegisteredNameID>
        <LegalEntityNameID>98262796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אפרת טהורי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דרור כהן</FullName>
        <FirstName>דרור</FirstName>
        <LastName>כהן</LastName>
        <PartyPropertyName/>
        <AuthenticationTypeAndNumber>ת"ז 032444051</AuthenticationTypeAndNumber>
        <RepresentatedOrRepresentativesNames/>
        <RepresentatedOrRepresentativesCount>0</RepresentatedOrRepresentativesCount>
        <InvitedBy/>
        <CaseID>81989322</CaseID>
        <CaseJudicialPersonPresentationDS>
          <CaseJudicalPersonActive>
            <CaseID>81989322</CaseID>
            <JudicialPersonID>022259600@GOV.IL</JudicialPersonID>
            <JudicialPersonTypeID>1</JudicialPersonTypeID>
            <JudicialTypeID>1</JudicialTypeID>
            <IsChairman>false</IsChairman>
            <TreatmentStartDate>2024-09-24T11:20:58.05+03:00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277916373</CasePartyID>
        <PartyTypeID>1</PartyTypeID>
        <ActivityStatusID>1</ActivityStatusID>
        <PartyAliasID>4</PartyAliasID>
        <PartyAliasName>משיב</PartyAliasName>
        <OrdinalNumber>1</OrdinalNumber>
        <LegalEntityID>16607438</LegalEntityID>
        <CaseLegalEntityID>132414220</CaseLegalEntityID>
        <AuthenticationTypeID>1</AuthenticationTypeID>
        <AuthenticationTypeName>ת"ז</AuthenticationTypeName>
        <LegalEntityNumber>032444051</LegalEntityNumber>
        <IsMainPartyType>true</IsMainPartyType>
        <CaseDisplayIdentifier>63267-09-24</CaseDisplayIdentifier>
        <CaseTypeID>10177</CaseTypeID>
        <CaseTypeName>הטרדה מאיימת וצו הגנה (ה"ט)</CaseTypeName>
        <CaseName>טהורי כהן נ' כהן</CaseName>
        <FullAddress>השלווה 24 סביון* </FullAddress>
        <MotionID>0</MotionID>
        <CasePleaID>0</CasePleaID>
        <BirthDate>1975-09-29T00:00:00+02:00</BirthDate>
        <FatherName>סמי</FatherName>
        <LinkedCaseID>0</LinkedCaseID>
        <PartyID>2</PartyID>
        <CasePartyCategoryID>2</CasePartyCategoryID>
        <LegalEntityAddressID>90992873</LegalEntityAddressID>
        <PleaTypeID>5</PleaTypeID>
        <GroupPartyAlias>משיבים</GroupPartyAlias>
        <IsConverted>false</IsConverted>
        <LegalEntityRegisteredNameID>2318434</LegalEntityRegisteredNameID>
        <LegalEntityNameID>98262797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דרור כהן</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81989322</CaseID>
        <CaseJudicialPersonPresentationDS>
          <CaseJudicalPersonActive>
            <CaseID>81989322</CaseID>
            <JudicialPersonID>022259600@GOV.IL</JudicialPersonID>
            <JudicialPersonTypeID>1</JudicialPersonTypeID>
            <JudicialTypeID>1</JudicialTypeID>
            <IsChairman>false</IsChairman>
            <TreatmentStartDate>2024-09-24T11:20:58.05+03:00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277916370</CasePartyID>
        <PartyTypeID>3</PartyTypeID>
        <ActivityStatusID>1</ActivityStatusID>
        <OrdinalNumber>2</OrdinalNumber>
        <LegalEntityID>379234</LegalEntityID>
        <CaseLegalEntityID>132414217</CaseLegalEntityID>
        <AssistantRoleID>19</AssistantRoleID>
        <AuthenticationTypeID>13</AuthenticationTypeID>
        <AuthenticationTypeName>משרדי ממשלה</AuthenticationTypeName>
        <LegalEntityNumber>500106214</LegalEntityNumber>
        <IsMainPartyType>true</IsMainPartyType>
        <CaseDisplayIdentifier>63267-09-24</CaseDisplayIdentifier>
        <CaseTypeID>10177</CaseTypeID>
        <CaseTypeName>הטרדה מאיימת וצו הגנה (ה"ט)</CaseTypeName>
        <CaseName>טהורי כהן נ' כהן</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DecisionName>פסק דין  שניתנה ע"י  אפרת ונקרט</DecisionName>
    <CourtDisplayName>בית משפט לענייני משפחה בפתח תקווה</CourtDisplayName>
    <IsCaseJudgePanel>false</IsCaseJudgePanel>
    <DecisionSignatureDate>2024-10-03T15:53:14.958214+03:00</DecisionSignatureDate>
    <OpenCaseDate>2024-09-24T11:18:00+03:00</OpenCaseDate>
    <CaseFeeSum>0.000</CaseFeeSum>
    <DecisionTypeID>2</DecisionTypeID>
    <DecisionSignatureUserName>אפרת ונקרט</DecisionSignatureUserName>
    <DecisionSignatureDateHebrew>2024-10-03T15:53:14.958214+03:00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טהורי כהן נ' כהן</CaseName>
    <DecisionNumberInCase>7</DecisionNumberInCase>
  </dt_Decision>
  <dt_DecisionCase>
    <DecisionID>0</DecisionID>
    <CaseID>81989322</CaseID>
    <CaseJudicialPersonPresentationDS>
      <CaseJudicalPersonActive>
        <CaseID>81989322</CaseID>
        <JudicialPersonID>022259600@GOV.IL</JudicialPersonID>
        <JudicialPersonTypeID>1</JudicialPersonTypeID>
        <JudicialTypeID>1</JudicialTypeID>
        <IsChairman>false</IsChairman>
        <TreatmentStartDate>2024-09-24T11:20:58.05+03:00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משטרת ישראל</RoleName>
        <IsSubProceeding>FALSE</IsSubProceeding>
        <FullName>מסובים</FullName>
        <FirstName/>
        <LastName>מסובים</LastName>
        <PartyPropertyName/>
        <AuthenticationTypeAndNumber>תחנת משטרה 30</AuthenticationTypeAndNumber>
        <RepresentatedOrRepresentativesNames/>
        <RepresentatedOrRepresentativesCount>0</RepresentatedOrRepresentativesCount>
        <InvitedBy/>
        <CaseID>81989322</CaseID>
        <CaseJudicialPersonPresentationDS>
          <CaseJudicalPersonActive>
            <CaseID>81989322</CaseID>
            <JudicialPersonID>022259600@GOV.IL</JudicialPersonID>
            <JudicialPersonTypeID>1</JudicialPersonTypeID>
            <JudicialTypeID>1</JudicialTypeID>
            <IsChairman>false</IsChairman>
            <TreatmentStartDate>2024-09-24T11:20:58.05+03:00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277932155</CasePartyID>
        <PartyTypeID>3</PartyTypeID>
        <ActivityStatusID>1</ActivityStatusID>
        <LegalEntityID>54</LegalEntityID>
        <CaseLegalEntityID>132418944</CaseLegalEntityID>
        <AssistantRoleID>29</AssistantRoleID>
        <AuthenticationTypeID>38</AuthenticationTypeID>
        <AuthenticationTypeName>תחנת משטרה</AuthenticationTypeName>
        <LegalEntityNumber>30</LegalEntityNumber>
        <IsMainPartyType>true</IsMainPartyType>
        <CaseDisplayIdentifier>63267-09-24</CaseDisplayIdentifier>
        <CaseTypeID>10177</CaseTypeID>
        <CaseTypeName>הטרדה מאיימת וצו הגנה (ה"ט)</CaseTypeName>
        <CaseName>טהורי כהן נ' כהן</CaseName>
        <FullAddress>דרך לוד אור יהודה </FullAddress>
        <MotionID>0</MotionID>
        <CasePleaID>0</CasePleaID>
        <LinkedCaseID>0</LinkedCaseID>
        <PartyID>1</PartyID>
        <CasePartyCategoryID>2</CasePartyCategoryID>
        <LegalEntityAddressID>21200287</LegalEntityAddressID>
        <PleaTypeID>5</PleaTypeID>
        <GroupPartyAlias/>
        <IsConverted>false</IsConverted>
        <LegalEntityNameID>95123109</LegalEntityNameID>
        <RepresentatedNamesOfAssistant/>
        <LegalEntityTypeID>14</LegalEntityTypeID>
        <IsVerdictExists>false</IsVerdictExists>
        <IsAsirAzir>false</IsAsirAzir>
        <MainAndSecSpec/>
        <IsPublicationProhibited>false</IsPublicationProhibited>
        <PublicationProhibitedFullName>מסובים</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81989322</CaseID>
        <CaseJudicialPersonPresentationDS>
          <CaseJudicalPersonActive>
            <CaseID>81989322</CaseID>
            <JudicialPersonID>022259600@GOV.IL</JudicialPersonID>
            <JudicialPersonTypeID>1</JudicialPersonTypeID>
            <JudicialTypeID>1</JudicialTypeID>
            <IsChairman>false</IsChairman>
            <TreatmentStartDate>2024-09-24T11:20:58.05+03:00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277916371</CasePartyID>
        <PartyTypeID>3</PartyTypeID>
        <ActivityStatusID>1</ActivityStatusID>
        <OrdinalNumber>1</OrdinalNumber>
        <LegalEntityID>379235</LegalEntityID>
        <CaseLegalEntityID>132414218</CaseLegalEntityID>
        <AssistantRoleID>18</AssistantRoleID>
        <AuthenticationTypeID>13</AuthenticationTypeID>
        <AuthenticationTypeName>משרדי ממשלה</AuthenticationTypeName>
        <LegalEntityNumber>500106215</LegalEntityNumber>
        <IsMainPartyType>true</IsMainPartyType>
        <CaseDisplayIdentifier>63267-09-24</CaseDisplayIdentifier>
        <CaseTypeID>10177</CaseTypeID>
        <CaseTypeName>הטרדה מאיימת וצו הגנה (ה"ט)</CaseTypeName>
        <CaseName>טהורי כהן נ' כהן</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אפרת טהורי</FullName>
        <FirstName>אפרת</FirstName>
        <LastName>טהורי כהן</LastName>
        <PartyPropertyName/>
        <AuthenticationTypeAndNumber>ת"ז 043398270</AuthenticationTypeAndNumber>
        <RepresentatedOrRepresentativesNames/>
        <RepresentatedOrRepresentativesCount>0</RepresentatedOrRepresentativesCount>
        <InvitedBy/>
        <CaseID>81989322</CaseID>
        <CaseJudicialPersonPresentationDS>
          <CaseJudicalPersonActive>
            <CaseID>81989322</CaseID>
            <JudicialPersonID>022259600@GOV.IL</JudicialPersonID>
            <JudicialPersonTypeID>1</JudicialPersonTypeID>
            <JudicialTypeID>1</JudicialTypeID>
            <IsChairman>false</IsChairman>
            <TreatmentStartDate>2024-09-24T11:20:58.05+03:00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277916372</CasePartyID>
        <PartyTypeID>1</PartyTypeID>
        <ActivityStatusID>1</ActivityStatusID>
        <PartyAliasID>3</PartyAliasID>
        <PartyAliasName>מבקש</PartyAliasName>
        <OrdinalNumber>1</OrdinalNumber>
        <LegalEntityID>58029551</LegalEntityID>
        <CaseLegalEntityID>132414219</CaseLegalEntityID>
        <AuthenticationTypeID>1</AuthenticationTypeID>
        <AuthenticationTypeName>ת"ז</AuthenticationTypeName>
        <LegalEntityNumber>043398270</LegalEntityNumber>
        <IsMainPartyType>true</IsMainPartyType>
        <CaseDisplayIdentifier>63267-09-24</CaseDisplayIdentifier>
        <CaseTypeID>10177</CaseTypeID>
        <CaseTypeName>הטרדה מאיימת וצו הגנה (ה"ט)</CaseTypeName>
        <CaseName>טהורי כהן נ' כהן</CaseName>
        <FullAddress>חרמון 6 אור יהודה </FullAddress>
        <MotionID>0</MotionID>
        <CasePleaID>0</CasePleaID>
        <FatherName>יוסף</FatherName>
        <LinkedCaseID>0</LinkedCaseID>
        <PartyID>1</PartyID>
        <CasePartyCategoryID>2</CasePartyCategoryID>
        <LegalEntityAddressID>90992872</LegalEntityAddressID>
        <GrandfatherName/>
        <DrivingLicenseNumber>8122612</DrivingLicenseNumber>
        <PleaTypeID>5</PleaTypeID>
        <GroupPartyAlias>מבקשים</GroupPartyAlias>
        <IsConverted>false</IsConverted>
        <LegalEntityRegisteredNameID>10034315</LegalEntityRegisteredNameID>
        <LegalEntityNameID>98262796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אפרת טהורי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דרור כהן</FullName>
        <FirstName>דרור</FirstName>
        <LastName>כהן</LastName>
        <PartyPropertyName/>
        <AuthenticationTypeAndNumber>ת"ז 032444051</AuthenticationTypeAndNumber>
        <RepresentatedOrRepresentativesNames/>
        <RepresentatedOrRepresentativesCount>0</RepresentatedOrRepresentativesCount>
        <InvitedBy/>
        <CaseID>81989322</CaseID>
        <CaseJudicialPersonPresentationDS>
          <CaseJudicalPersonActive>
            <CaseID>81989322</CaseID>
            <JudicialPersonID>022259600@GOV.IL</JudicialPersonID>
            <JudicialPersonTypeID>1</JudicialPersonTypeID>
            <JudicialTypeID>1</JudicialTypeID>
            <IsChairman>false</IsChairman>
            <TreatmentStartDate>2024-09-24T11:20:58.05+03:00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277916373</CasePartyID>
        <PartyTypeID>1</PartyTypeID>
        <ActivityStatusID>1</ActivityStatusID>
        <PartyAliasID>4</PartyAliasID>
        <PartyAliasName>משיב</PartyAliasName>
        <OrdinalNumber>1</OrdinalNumber>
        <LegalEntityID>16607438</LegalEntityID>
        <CaseLegalEntityID>132414220</CaseLegalEntityID>
        <AuthenticationTypeID>1</AuthenticationTypeID>
        <AuthenticationTypeName>ת"ז</AuthenticationTypeName>
        <LegalEntityNumber>032444051</LegalEntityNumber>
        <IsMainPartyType>true</IsMainPartyType>
        <CaseDisplayIdentifier>63267-09-24</CaseDisplayIdentifier>
        <CaseTypeID>10177</CaseTypeID>
        <CaseTypeName>הטרדה מאיימת וצו הגנה (ה"ט)</CaseTypeName>
        <CaseName>טהורי כהן נ' כהן</CaseName>
        <FullAddress>השלווה 24 סביון* </FullAddress>
        <MotionID>0</MotionID>
        <CasePleaID>0</CasePleaID>
        <BirthDate>1975-09-29T00:00:00+02:00</BirthDate>
        <FatherName>סמי</FatherName>
        <LinkedCaseID>0</LinkedCaseID>
        <PartyID>2</PartyID>
        <CasePartyCategoryID>2</CasePartyCategoryID>
        <LegalEntityAddressID>90992873</LegalEntityAddressID>
        <PleaTypeID>5</PleaTypeID>
        <GroupPartyAlias>משיבים</GroupPartyAlias>
        <IsConverted>false</IsConverted>
        <LegalEntityRegisteredNameID>2318434</LegalEntityRegisteredNameID>
        <LegalEntityNameID>98262797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דרור כהן</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81989322</CaseID>
        <CaseJudicialPersonPresentationDS>
          <CaseJudicalPersonActive>
            <CaseID>81989322</CaseID>
            <JudicialPersonID>022259600@GOV.IL</JudicialPersonID>
            <JudicialPersonTypeID>1</JudicialPersonTypeID>
            <JudicialTypeID>1</JudicialTypeID>
            <IsChairman>false</IsChairman>
            <TreatmentStartDate>2024-09-24T11:20:58.05+03:00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277916370</CasePartyID>
        <PartyTypeID>3</PartyTypeID>
        <ActivityStatusID>1</ActivityStatusID>
        <OrdinalNumber>2</OrdinalNumber>
        <LegalEntityID>379234</LegalEntityID>
        <CaseLegalEntityID>132414217</CaseLegalEntityID>
        <AssistantRoleID>19</AssistantRoleID>
        <AuthenticationTypeID>13</AuthenticationTypeID>
        <AuthenticationTypeName>משרדי ממשלה</AuthenticationTypeName>
        <LegalEntityNumber>500106214</LegalEntityNumber>
        <IsMainPartyType>true</IsMainPartyType>
        <CaseDisplayIdentifier>63267-09-24</CaseDisplayIdentifier>
        <CaseTypeID>10177</CaseTypeID>
        <CaseTypeName>הטרדה מאיימת וצו הגנה (ה"ט)</CaseTypeName>
        <CaseName>טהורי כהן נ' כהן</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CaseName>טהורי כהן נ' כהן</CaseName>
    <CaseDisplayIdentifier>63267-09-24</CaseDisplayIdentifier>
    <CaseInterestID>94</CaseInterestID>
    <CaseTypeShortName>ה"ט</CaseTypeShortName>
  </dt_DecisionCase>
  <dt_DecisionJudgePanel>
    <JudgeID>022259600@GOV.IL</JudgeID>
    <DisplayName>אפרת ונקרט</DisplayName>
    <RoleName>שופט</RoleName>
    <UserTitleName>שופטת</UserTitleName>
  </dt_DecisionJudgePanel>
  <dt_LegalEntityDetails>
    <Fax>03-5384471</Fax>
    <Phone>03-5384444</Phone>
    <AddressDesc/>
    <PartyID>1</PartyID>
    <PartyTypeID>3</PartyTypeID>
    <DecisionID>0</DecisionID>
    <AssistantRoleID>29</AssistantRoleID>
    <StreetName>דרך לוד</StreetName>
    <ZipCode>60200</ZipCode>
    <CityName>אור יהודה</CityName>
    <FullName> מסובים</FullName>
    <Email/>
    <IsPublicationProhibited>false</IsPublicationProhibited>
  </dt_LegalEntityDetails>
  <dt_LegalEntityDetails>
    <Fax>02-5420860</Fax>
    <Phone/>
    <AddressDesc/>
    <PartyTypeID>3</PartyTypeID>
    <DecisionID>0</DecisionID>
    <AssistantRoleID>18</AssistantRoleID>
    <StreetName>.</StreetName>
    <CityName>ירושלים</CityName>
    <FullName> משרד הפנים/האגף לרישוי כלי נשק</FullName>
    <Email>fax@mops.gov.il</Email>
    <IsPublicationProhibited>false</IsPublicationProhibited>
  </dt_LegalEntityDetails>
  <dt_LegalEntityDetails>
    <PartyID>1</PartyID>
    <PartyTypeID>1</PartyTypeID>
    <DecisionID>0</DecisionID>
    <StreetName>חרמון 6</StreetName>
    <CityName>אור יהודה</CityName>
    <FullName>אפרת טהורי</FullName>
    <IsPublicationProhibited>false</IsPublicationProhibited>
  </dt_LegalEntityDetails>
  <dt_LegalEntityDetails>
    <PartyID>2</PartyID>
    <PartyTypeID>1</PartyTypeID>
    <DecisionID>0</DecisionID>
    <StreetName>השלווה 24</StreetName>
    <CityName>סביון*</CityName>
    <FullName>דרור  כהן</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CaseJudicalPersonActive>
    <CaseJudicalPerson>שופטת אפרת ונקרט</CaseJudicalPerson>
  </dt_CaseJudicalPersonActive>
  <dt_Sitting>
    <PreviousMeetingDate>2024-10-01T09:00:00+03:00</PreviousMeetingDate>
    <PreviousSittingTypeID>43</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Props1.xml><?xml version="1.0" encoding="utf-8"?>
<ds:datastoreItem xmlns:ds="http://schemas.openxmlformats.org/officeDocument/2006/customXml" ds:itemID="{4D92DAC2-0424-4C46-A7CF-258F29D048B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1377</Words>
  <Characters>6888</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2024-10-27T08:21:00Z</dcterms:created>
  <dcterms:modified xsi:type="dcterms:W3CDTF">2024-10-27T08:21:00Z</dcterms:modified>
</cp:coreProperties>
</file>